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Standard"/>
        <w:widowControl w:val="false"/>
        <w:tabs>
          <w:tab w:val="left" w:pos="0" w:leader="none"/>
          <w:tab w:val="left" w:pos="284" w:leader="none"/>
        </w:tabs>
        <w:spacing w:lineRule="auto" w:line="360"/>
        <w:jc w:val="center"/>
        <w:rPr>
          <w:rFonts w:ascii="Arial" w:hAnsi="Arial" w:cs="Arial"/>
          <w:sz w:val="20"/>
          <w:szCs w:val="20"/>
        </w:rPr>
      </w:pPr>
      <w:r>
        <w:rPr/>
        <w:drawing>
          <wp:inline distT="0" distB="0" distL="0" distR="0">
            <wp:extent cx="572770" cy="564515"/>
            <wp:effectExtent l="0" t="0" r="0" b="0"/>
            <wp:docPr id="1" name="figuras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s1" descr=""/>
                    <pic:cNvPicPr>
                      <a:picLocks noChangeAspect="1" noChangeArrowheads="1"/>
                    </pic:cNvPicPr>
                  </pic:nvPicPr>
                  <pic:blipFill>
                    <a:blip r:embed="rId2"/>
                    <a:srcRect l="-66" t="-84" r="-66" b="-84"/>
                    <a:stretch>
                      <a:fillRect/>
                    </a:stretch>
                  </pic:blipFill>
                  <pic:spPr bwMode="auto">
                    <a:xfrm>
                      <a:off x="0" y="0"/>
                      <a:ext cx="572770" cy="564515"/>
                    </a:xfrm>
                    <a:prstGeom prst="rect">
                      <a:avLst/>
                    </a:prstGeom>
                  </pic:spPr>
                </pic:pic>
              </a:graphicData>
            </a:graphic>
          </wp:inline>
        </w:drawing>
      </w:r>
    </w:p>
    <w:p>
      <w:pPr>
        <w:pStyle w:val="Standard"/>
        <w:spacing w:beforeAutospacing="1" w:afterAutospacing="1"/>
        <w:contextualSpacing/>
        <w:jc w:val="center"/>
        <w:rPr>
          <w:rFonts w:ascii="Arial" w:hAnsi="Arial" w:cs="Arial"/>
          <w:b/>
          <w:b/>
          <w:sz w:val="20"/>
          <w:szCs w:val="20"/>
        </w:rPr>
      </w:pPr>
      <w:r>
        <w:rPr>
          <w:rFonts w:cs="Arial" w:ascii="Arial" w:hAnsi="Arial"/>
          <w:b/>
          <w:sz w:val="20"/>
          <w:szCs w:val="20"/>
        </w:rPr>
        <w:t>MINISTÉRIO DA  DEFESA</w:t>
      </w:r>
    </w:p>
    <w:p>
      <w:pPr>
        <w:pStyle w:val="Standard"/>
        <w:spacing w:beforeAutospacing="1" w:afterAutospacing="1"/>
        <w:contextualSpacing/>
        <w:jc w:val="center"/>
        <w:rPr>
          <w:rFonts w:ascii="Arial" w:hAnsi="Arial" w:cs="Arial"/>
          <w:b/>
          <w:b/>
          <w:sz w:val="20"/>
          <w:szCs w:val="20"/>
        </w:rPr>
      </w:pPr>
      <w:r>
        <w:rPr>
          <w:rFonts w:cs="Arial" w:ascii="Arial" w:hAnsi="Arial"/>
          <w:b/>
          <w:sz w:val="20"/>
          <w:szCs w:val="20"/>
        </w:rPr>
        <w:t>EXÉRCITO BRASILEIRO</w:t>
      </w:r>
    </w:p>
    <w:p>
      <w:pPr>
        <w:pStyle w:val="Standard"/>
        <w:spacing w:beforeAutospacing="1" w:afterAutospacing="1"/>
        <w:contextualSpacing/>
        <w:jc w:val="center"/>
        <w:rPr>
          <w:rFonts w:ascii="Arial" w:hAnsi="Arial" w:cs="Arial"/>
          <w:b/>
          <w:b/>
          <w:sz w:val="20"/>
          <w:szCs w:val="20"/>
        </w:rPr>
      </w:pPr>
      <w:r>
        <w:rPr>
          <w:rFonts w:cs="Arial" w:ascii="Arial" w:hAnsi="Arial"/>
          <w:b/>
          <w:sz w:val="20"/>
          <w:szCs w:val="20"/>
        </w:rPr>
        <w:t>CML                           1ª RM</w:t>
      </w:r>
    </w:p>
    <w:p>
      <w:pPr>
        <w:pStyle w:val="Standard"/>
        <w:spacing w:beforeAutospacing="1" w:afterAutospacing="1"/>
        <w:contextualSpacing/>
        <w:jc w:val="center"/>
        <w:rPr>
          <w:rFonts w:ascii="Arial" w:hAnsi="Arial" w:eastAsia="MS Mincho" w:cs="Arial"/>
          <w:b/>
          <w:b/>
          <w:bCs/>
          <w:color w:val="000000"/>
          <w:sz w:val="20"/>
          <w:szCs w:val="20"/>
          <w:lang w:val="en-US"/>
        </w:rPr>
      </w:pPr>
      <w:r>
        <w:rPr>
          <w:rFonts w:eastAsia="MS Mincho" w:cs="Arial" w:ascii="Arial" w:hAnsi="Arial"/>
          <w:b/>
          <w:bCs/>
          <w:color w:val="000000"/>
          <w:sz w:val="20"/>
          <w:szCs w:val="20"/>
          <w:lang w:val="en-US"/>
        </w:rPr>
        <w:t>BASE ADMINISTRATIVA DO COMPLEXO DE SAÚDE DO RIO DE JANEIRO</w:t>
      </w:r>
    </w:p>
    <w:p>
      <w:pPr>
        <w:pStyle w:val="Normal"/>
        <w:jc w:val="center"/>
        <w:rPr/>
      </w:pPr>
      <w:r>
        <w:rPr>
          <w:rFonts w:eastAsia="Ecofont_Spranq_eco_Sans" w:cs="Arial"/>
          <w:b/>
          <w:szCs w:val="20"/>
        </w:rPr>
        <w:t xml:space="preserve"> </w:t>
      </w:r>
      <w:r>
        <w:rPr>
          <w:rFonts w:eastAsia="Ecofont_Spranq_eco_Sans" w:cs="Arial"/>
          <w:b/>
          <w:szCs w:val="20"/>
        </w:rPr>
        <w:t>TERMO DE REFERÊNCIA</w:t>
      </w:r>
      <w:r>
        <w:rPr>
          <w:rFonts w:eastAsia="Ecofont_Spranq_eco_Sans" w:cs="Arial"/>
          <w:b/>
          <w:bCs/>
          <w:color w:val="000000"/>
          <w:szCs w:val="20"/>
        </w:rPr>
        <w:t xml:space="preserve"> </w:t>
      </w:r>
      <w:r>
        <w:rPr>
          <w:rFonts w:eastAsia="Ecofont_Spranq_eco_Sans" w:cs="Arial"/>
          <w:b/>
          <w:bCs/>
          <w:color w:val="000000"/>
          <w:szCs w:val="20"/>
        </w:rPr>
        <w:t>N° 25 / 2023</w:t>
      </w:r>
    </w:p>
    <w:p>
      <w:pPr>
        <w:pStyle w:val="Normal"/>
        <w:jc w:val="center"/>
        <w:rPr>
          <w:b/>
          <w:b/>
        </w:rPr>
      </w:pPr>
      <w:r>
        <w:rPr>
          <w:b/>
        </w:rPr>
      </w:r>
    </w:p>
    <w:p>
      <w:pPr>
        <w:pStyle w:val="Normal"/>
        <w:jc w:val="center"/>
        <w:rPr/>
      </w:pPr>
      <w:r>
        <w:rPr>
          <w:b/>
        </w:rPr>
        <w:t>PREGÃO ELETRÔNICO Nº 2</w:t>
      </w:r>
      <w:r>
        <w:rPr>
          <w:b/>
        </w:rPr>
        <w:t>5</w:t>
      </w:r>
      <w:r>
        <w:rPr>
          <w:b/>
        </w:rPr>
        <w:t>/2023</w:t>
      </w:r>
    </w:p>
    <w:p>
      <w:pPr>
        <w:pStyle w:val="Normal"/>
        <w:jc w:val="center"/>
        <w:rPr/>
      </w:pPr>
      <w:r>
        <w:rPr>
          <w:rFonts w:eastAsia="SimSun"/>
          <w:b/>
        </w:rPr>
        <w:t>(Processo Administrativo n° (65475.000</w:t>
      </w:r>
      <w:r>
        <w:rPr>
          <w:rFonts w:eastAsia="SimSun"/>
          <w:b/>
        </w:rPr>
        <w:t>767</w:t>
      </w:r>
      <w:r>
        <w:rPr>
          <w:rFonts w:eastAsia="SimSun"/>
          <w:b/>
        </w:rPr>
        <w:t>/2023-</w:t>
      </w:r>
      <w:r>
        <w:rPr>
          <w:rFonts w:eastAsia="SimSun"/>
          <w:b/>
        </w:rPr>
        <w:t>01</w:t>
      </w:r>
      <w:r>
        <w:rPr>
          <w:rFonts w:eastAsia="SimSun"/>
          <w:b/>
        </w:rPr>
        <w:t>)</w:t>
      </w:r>
    </w:p>
    <w:p>
      <w:pPr>
        <w:pStyle w:val="Nivel1"/>
        <w:numPr>
          <w:ilvl w:val="0"/>
          <w:numId w:val="1"/>
        </w:numPr>
        <w:rPr>
          <w:color w:val="00000A"/>
        </w:rPr>
      </w:pPr>
      <w:r>
        <w:rPr>
          <w:color w:val="00000A"/>
        </w:rPr>
        <w:t>DO OBJETO</w:t>
      </w:r>
    </w:p>
    <w:p>
      <w:pPr>
        <w:pStyle w:val="Normal"/>
        <w:spacing w:lineRule="auto" w:line="276" w:before="120" w:after="120"/>
        <w:ind w:left="425" w:hanging="0"/>
        <w:jc w:val="both"/>
        <w:rPr/>
      </w:pPr>
      <w:r>
        <w:rPr>
          <w:rFonts w:cs="Arial"/>
          <w:szCs w:val="20"/>
        </w:rPr>
        <w:t xml:space="preserve">Relançamento para aquisição de Medicamentos </w:t>
      </w:r>
      <w:r>
        <w:rPr>
          <w:rFonts w:cs="Arial"/>
          <w:szCs w:val="20"/>
        </w:rPr>
        <w:t>(Alto Custo e Uso Geral)</w:t>
      </w:r>
      <w:bookmarkStart w:id="0" w:name="_GoBack"/>
      <w:bookmarkEnd w:id="0"/>
      <w:r>
        <w:rPr>
          <w:rFonts w:cs="Arial"/>
          <w:b/>
          <w:szCs w:val="20"/>
        </w:rPr>
        <w:t>,</w:t>
      </w:r>
      <w:r>
        <w:rPr>
          <w:rFonts w:cs="Arial"/>
          <w:szCs w:val="20"/>
        </w:rPr>
        <w:t xml:space="preserve"> conforme condições, quantidades e exigências estabelecidas no APÊNDICE A – Relação de itens e especificações técnicas, ao Termo de Referência neste instrumento:</w:t>
      </w:r>
    </w:p>
    <w:p>
      <w:pPr>
        <w:pStyle w:val="ListParagraph"/>
        <w:spacing w:lineRule="auto" w:line="276" w:before="0" w:after="120"/>
        <w:ind w:left="425" w:hanging="0"/>
        <w:jc w:val="both"/>
        <w:rPr>
          <w:rFonts w:cs="Arial"/>
          <w:szCs w:val="20"/>
        </w:rPr>
      </w:pPr>
      <w:r>
        <w:rPr>
          <w:rFonts w:cs="Arial"/>
          <w:szCs w:val="20"/>
        </w:rPr>
        <w:t xml:space="preserve">Caso haja discordância entre o descritivo do item no termo de referência e no Comprasnet, prevalecerá o descritivo constante no termo de referência. </w:t>
      </w:r>
    </w:p>
    <w:p>
      <w:pPr>
        <w:pStyle w:val="PargrafodaLista1"/>
        <w:suppressAutoHyphens w:val="true"/>
        <w:spacing w:lineRule="auto" w:line="276" w:before="120" w:after="120"/>
        <w:ind w:left="426" w:hanging="0"/>
        <w:jc w:val="both"/>
        <w:rPr>
          <w:rFonts w:ascii="Arial" w:hAnsi="Arial" w:cs="Arial"/>
          <w:sz w:val="20"/>
          <w:szCs w:val="20"/>
        </w:rPr>
      </w:pPr>
      <w:r>
        <w:rPr>
          <w:rFonts w:cs="Arial" w:ascii="Arial" w:hAnsi="Arial"/>
          <w:sz w:val="20"/>
          <w:szCs w:val="20"/>
        </w:rPr>
        <w:t>Esta Administração é de parecer que o procedimento da Reserva de Cota para ME, EPP, previsto na LC 147/2014, art., 48, III; NÃO é vantajoso para a administração e representa possível prejuízo ao conjunto do objeto a ser contratado, conforme o Art. 10º, II do decreto 8538/2015, deixando assim de aplicá-lo.</w:t>
      </w:r>
    </w:p>
    <w:p>
      <w:pPr>
        <w:pStyle w:val="PargrafodaLista1"/>
        <w:suppressAutoHyphens w:val="true"/>
        <w:spacing w:lineRule="auto" w:line="276" w:before="120" w:after="120"/>
        <w:ind w:left="426" w:hanging="0"/>
        <w:jc w:val="both"/>
        <w:rPr>
          <w:rFonts w:ascii="Arial" w:hAnsi="Arial" w:cs="Arial"/>
          <w:sz w:val="20"/>
          <w:szCs w:val="20"/>
        </w:rPr>
      </w:pPr>
      <w:r>
        <w:rPr>
          <w:rFonts w:cs="Arial" w:ascii="Arial" w:hAnsi="Arial"/>
          <w:sz w:val="20"/>
          <w:szCs w:val="20"/>
        </w:rPr>
        <w:t>O prazo de vigência da contratação é de 90 (noventa) dias, contados do recebimento da Nota de Empenho, prorrogável na forma do art. 57, § 1°, da Lei n° 8.666/93.</w:t>
      </w:r>
    </w:p>
    <w:p>
      <w:pPr>
        <w:pStyle w:val="Nivel1"/>
        <w:numPr>
          <w:ilvl w:val="0"/>
          <w:numId w:val="1"/>
        </w:numPr>
        <w:rPr>
          <w:color w:val="00000A"/>
        </w:rPr>
      </w:pPr>
      <w:r>
        <w:rPr>
          <w:color w:val="00000A"/>
        </w:rPr>
        <w:t>JUSTIFICATIVA E OBJETIVO DA CONTRATAÇÃO</w:t>
      </w:r>
    </w:p>
    <w:p>
      <w:pPr>
        <w:pStyle w:val="Normal"/>
        <w:spacing w:lineRule="auto" w:line="276" w:before="120" w:after="120"/>
        <w:jc w:val="both"/>
        <w:rPr>
          <w:rFonts w:cs="Arial"/>
          <w:szCs w:val="20"/>
        </w:rPr>
      </w:pPr>
      <w:r>
        <w:rPr>
          <w:rFonts w:cs="Arial"/>
          <w:szCs w:val="20"/>
        </w:rPr>
        <w:t>A Justificativa e o objetivo da contratação encontram-se pormenorizadas em Tópico específico dos Estudos Técnicos Preliminares, apêndice deste Termo de Referência.</w:t>
      </w:r>
    </w:p>
    <w:p>
      <w:pPr>
        <w:pStyle w:val="Nivel1"/>
        <w:numPr>
          <w:ilvl w:val="0"/>
          <w:numId w:val="1"/>
        </w:numPr>
        <w:rPr>
          <w:color w:val="00000A"/>
        </w:rPr>
      </w:pPr>
      <w:r>
        <w:rPr>
          <w:color w:val="00000A"/>
        </w:rPr>
        <w:t>DESCRIÇÃO DA SOLUÇÃO:</w:t>
      </w:r>
    </w:p>
    <w:p>
      <w:pPr>
        <w:pStyle w:val="Normal"/>
        <w:numPr>
          <w:ilvl w:val="1"/>
          <w:numId w:val="2"/>
        </w:numPr>
        <w:spacing w:lineRule="auto" w:line="276" w:before="120" w:after="120"/>
        <w:ind w:left="425" w:hanging="0"/>
        <w:jc w:val="both"/>
        <w:rPr>
          <w:rFonts w:cs="Arial"/>
          <w:szCs w:val="20"/>
        </w:rPr>
      </w:pPr>
      <w:r>
        <w:rPr>
          <w:rFonts w:cs="Arial"/>
          <w:szCs w:val="20"/>
        </w:rPr>
        <w:t>A descrição da solução como um todo, encontra-se pormenorizada em Tópico específico dos Estudos Técnicos Preliminares, apêndice deste Termo de Referência.</w:t>
      </w:r>
    </w:p>
    <w:p>
      <w:pPr>
        <w:pStyle w:val="Nivel1"/>
        <w:numPr>
          <w:ilvl w:val="0"/>
          <w:numId w:val="1"/>
        </w:numPr>
        <w:rPr>
          <w:color w:val="00000A"/>
        </w:rPr>
      </w:pPr>
      <w:r>
        <w:rPr>
          <w:color w:val="00000A"/>
        </w:rPr>
        <w:t>CLASSIFICAÇÃO DOS BENS COMUNS</w:t>
      </w:r>
    </w:p>
    <w:p>
      <w:pPr>
        <w:pStyle w:val="Normal"/>
        <w:spacing w:lineRule="auto" w:line="276" w:before="120" w:after="120"/>
        <w:ind w:left="425" w:hanging="0"/>
        <w:jc w:val="both"/>
        <w:rPr>
          <w:rFonts w:cs="Arial"/>
          <w:b/>
          <w:b/>
          <w:szCs w:val="20"/>
        </w:rPr>
      </w:pPr>
      <w:r>
        <w:rPr>
          <w:rFonts w:cs="Arial"/>
          <w:iCs/>
          <w:szCs w:val="20"/>
        </w:rPr>
        <w:t>Trata-se de aquisição de bem comum, a ser contratada mediante licitação, na modalidade pregão, em sua forma eletrônica</w:t>
      </w:r>
      <w:r>
        <w:rPr>
          <w:rFonts w:cs="Arial"/>
          <w:bCs/>
          <w:szCs w:val="20"/>
        </w:rPr>
        <w:t>.</w:t>
      </w:r>
    </w:p>
    <w:p>
      <w:pPr>
        <w:pStyle w:val="Nivel1"/>
        <w:numPr>
          <w:ilvl w:val="0"/>
          <w:numId w:val="1"/>
        </w:numPr>
        <w:rPr>
          <w:color w:val="00000A"/>
        </w:rPr>
      </w:pPr>
      <w:r>
        <w:rPr>
          <w:color w:val="00000A"/>
        </w:rPr>
        <w:t>CRITÉRIOS DE SUSTENTABILIDADE</w:t>
      </w:r>
    </w:p>
    <w:p>
      <w:pPr>
        <w:pStyle w:val="Normal"/>
        <w:spacing w:lineRule="auto" w:line="276" w:before="120" w:after="120"/>
        <w:jc w:val="both"/>
        <w:rPr>
          <w:rFonts w:cs="Arial"/>
          <w:iCs/>
          <w:szCs w:val="20"/>
        </w:rPr>
      </w:pPr>
      <w:r>
        <w:rPr>
          <w:rFonts w:cs="Arial"/>
          <w:iCs/>
          <w:szCs w:val="20"/>
        </w:rPr>
        <w:t>Os critérios de sustentabilidade são aqueles previstos nas especificações do objeto e/ou obrigações da contratada e/ou no edital como requisito previsto em lei especial</w:t>
      </w:r>
      <w:bookmarkStart w:id="1" w:name="_Hlk69799419"/>
      <w:bookmarkEnd w:id="1"/>
    </w:p>
    <w:p>
      <w:pPr>
        <w:pStyle w:val="Nivel1"/>
        <w:numPr>
          <w:ilvl w:val="0"/>
          <w:numId w:val="1"/>
        </w:numPr>
        <w:rPr>
          <w:color w:val="00000A"/>
        </w:rPr>
      </w:pPr>
      <w:r>
        <w:rPr>
          <w:color w:val="00000A"/>
        </w:rPr>
        <w:t>ENTREGA E CRITÉRIOS DE ACEITAÇÃO DO OBJETO.</w:t>
      </w:r>
    </w:p>
    <w:p>
      <w:pPr>
        <w:pStyle w:val="Normal"/>
        <w:spacing w:lineRule="auto" w:line="276" w:before="120" w:after="120"/>
        <w:ind w:left="425" w:hanging="0"/>
        <w:jc w:val="both"/>
        <w:rPr>
          <w:rFonts w:cs="Arial"/>
          <w:b/>
          <w:b/>
          <w:bCs/>
          <w:szCs w:val="20"/>
        </w:rPr>
      </w:pPr>
      <w:r>
        <w:rPr>
          <w:rFonts w:cs="Arial"/>
          <w:iCs/>
          <w:szCs w:val="20"/>
        </w:rPr>
        <w:t>O prazo de entrega dos bens é de 30 (trinta) dias, contados da emissão da Nota de Empenho, em remessa única, nos seguintes endereços:</w:t>
      </w:r>
    </w:p>
    <w:p>
      <w:pPr>
        <w:pStyle w:val="Standard"/>
        <w:suppressAutoHyphens w:val="false"/>
        <w:spacing w:lineRule="auto" w:line="276" w:before="120" w:after="120"/>
        <w:ind w:left="709" w:hanging="0"/>
        <w:jc w:val="both"/>
        <w:textAlignment w:val="baseline"/>
        <w:rPr>
          <w:rFonts w:ascii="Arial" w:hAnsi="Arial" w:cs="Arial"/>
          <w:iCs/>
          <w:sz w:val="20"/>
          <w:szCs w:val="20"/>
        </w:rPr>
      </w:pPr>
      <w:r>
        <w:rPr>
          <w:rFonts w:cs="Arial" w:ascii="Arial" w:hAnsi="Arial"/>
          <w:iCs/>
          <w:sz w:val="20"/>
          <w:szCs w:val="20"/>
        </w:rPr>
        <w:t>Av. Duque de Caxias, 1551 - Deodoro, Rio de Janeiro - RJ, 21615-220 – Hospital Geral do Rio de Janeiro;</w:t>
      </w:r>
    </w:p>
    <w:p>
      <w:pPr>
        <w:pStyle w:val="Standard"/>
        <w:suppressAutoHyphens w:val="false"/>
        <w:spacing w:lineRule="auto" w:line="276" w:before="120" w:after="120"/>
        <w:ind w:left="709" w:hanging="0"/>
        <w:jc w:val="both"/>
        <w:textAlignment w:val="baseline"/>
        <w:rPr>
          <w:rFonts w:ascii="Arial" w:hAnsi="Arial" w:cs="Arial"/>
          <w:iCs/>
          <w:sz w:val="20"/>
          <w:szCs w:val="20"/>
        </w:rPr>
      </w:pPr>
      <w:r>
        <w:rPr>
          <w:rFonts w:cs="Arial" w:ascii="Arial" w:hAnsi="Arial"/>
          <w:iCs/>
          <w:sz w:val="20"/>
          <w:szCs w:val="20"/>
        </w:rPr>
        <w:t xml:space="preserve"> </w:t>
      </w:r>
      <w:r>
        <w:rPr>
          <w:rFonts w:cs="Arial" w:ascii="Arial" w:hAnsi="Arial"/>
          <w:iCs/>
          <w:sz w:val="20"/>
          <w:szCs w:val="20"/>
        </w:rPr>
        <w:t>R. Moncorvo Filho, 34 - Centro, Rio de Janeiro - RJ, 20211-340 – Policlínica Militar do Rio de Janeiro;</w:t>
      </w:r>
    </w:p>
    <w:p>
      <w:pPr>
        <w:pStyle w:val="Standard"/>
        <w:suppressAutoHyphens w:val="false"/>
        <w:spacing w:lineRule="auto" w:line="276" w:before="120" w:after="120"/>
        <w:ind w:left="709" w:hanging="0"/>
        <w:jc w:val="both"/>
        <w:textAlignment w:val="baseline"/>
        <w:rPr>
          <w:rFonts w:ascii="Arial" w:hAnsi="Arial" w:cs="Arial"/>
          <w:bCs/>
          <w:sz w:val="20"/>
          <w:szCs w:val="20"/>
        </w:rPr>
      </w:pPr>
      <w:r>
        <w:rPr>
          <w:rFonts w:cs="Arial" w:ascii="Arial" w:hAnsi="Arial"/>
          <w:iCs/>
          <w:sz w:val="20"/>
          <w:szCs w:val="20"/>
        </w:rPr>
        <w:t xml:space="preserve"> </w:t>
      </w:r>
      <w:r>
        <w:rPr>
          <w:rFonts w:cs="Arial" w:ascii="Arial" w:hAnsi="Arial"/>
          <w:iCs/>
          <w:sz w:val="20"/>
          <w:szCs w:val="20"/>
        </w:rPr>
        <w:t>Praça Gen. Tibúrcio, 83 - Urca, Rio de Janeiro - RJ, 22290-270 – Policlínica Militar da Praia Vermelha; e</w:t>
      </w:r>
    </w:p>
    <w:p>
      <w:pPr>
        <w:pStyle w:val="Standard"/>
        <w:suppressAutoHyphens w:val="false"/>
        <w:spacing w:lineRule="auto" w:line="276" w:before="120" w:after="120"/>
        <w:ind w:left="709" w:hanging="0"/>
        <w:jc w:val="both"/>
        <w:textAlignment w:val="baseline"/>
        <w:rPr>
          <w:rFonts w:ascii="Arial" w:hAnsi="Arial" w:cs="Arial"/>
          <w:bCs/>
          <w:sz w:val="20"/>
          <w:szCs w:val="20"/>
        </w:rPr>
      </w:pPr>
      <w:r>
        <w:rPr>
          <w:rFonts w:cs="Arial" w:ascii="Arial" w:hAnsi="Arial"/>
          <w:iCs/>
          <w:sz w:val="20"/>
          <w:szCs w:val="20"/>
        </w:rPr>
        <w:t>R. Desiderio de Oliveira, 337 - Centro, Niterói - RJ - Policlínica Militar de Niterói</w:t>
      </w:r>
    </w:p>
    <w:p>
      <w:pPr>
        <w:pStyle w:val="Standard"/>
        <w:suppressAutoHyphens w:val="false"/>
        <w:spacing w:lineRule="auto" w:line="276" w:before="120" w:after="120"/>
        <w:ind w:left="709" w:hanging="0"/>
        <w:jc w:val="both"/>
        <w:textAlignment w:val="baseline"/>
        <w:rPr>
          <w:rFonts w:ascii="Arial" w:hAnsi="Arial" w:cs="Arial"/>
          <w:bCs/>
          <w:sz w:val="20"/>
          <w:szCs w:val="20"/>
        </w:rPr>
      </w:pPr>
      <w:r>
        <w:rPr>
          <w:rFonts w:cs="Arial" w:ascii="Arial" w:hAnsi="Arial"/>
          <w:color w:val="202124"/>
          <w:sz w:val="20"/>
          <w:szCs w:val="20"/>
          <w:shd w:fill="FFFFFF" w:val="clear"/>
        </w:rPr>
        <w:t>R. Francisco Manuel, 102 - Benfica, Rio de Janeiro - RJ, 20911-270 – Instituto de Biologia do Exército;</w:t>
      </w:r>
    </w:p>
    <w:p>
      <w:pPr>
        <w:pStyle w:val="Standard"/>
        <w:tabs>
          <w:tab w:val="left" w:pos="-4026" w:leader="none"/>
        </w:tabs>
        <w:spacing w:lineRule="auto" w:line="276" w:before="120" w:after="120"/>
        <w:ind w:left="284" w:hanging="0"/>
        <w:jc w:val="both"/>
        <w:textAlignment w:val="baseline"/>
        <w:rPr>
          <w:rFonts w:ascii="Arial" w:hAnsi="Arial" w:cs="Arial"/>
          <w:sz w:val="20"/>
          <w:szCs w:val="20"/>
        </w:rPr>
      </w:pPr>
      <w:r>
        <w:rPr>
          <w:rFonts w:cs="Arial" w:ascii="Arial" w:hAnsi="Arial"/>
          <w:sz w:val="20"/>
          <w:szCs w:val="20"/>
        </w:rPr>
        <w:t>Quando da impossibilidade de fracionamento da quantidade por força de lei, o fornecedor deverá entregar a menor apresentação disponível no mercado ou múltiplo desta, não importando a apresentação que disponha em estoque próprio, respeitando a legalidade do processo licitatório.</w:t>
      </w:r>
    </w:p>
    <w:p>
      <w:pPr>
        <w:pStyle w:val="Textbody"/>
        <w:tabs>
          <w:tab w:val="left" w:pos="1702" w:leader="none"/>
        </w:tabs>
        <w:ind w:left="284" w:hanging="0"/>
        <w:jc w:val="both"/>
        <w:rPr>
          <w:rFonts w:ascii="Arial" w:hAnsi="Arial" w:eastAsia="Ecofont_Spranq_eco_Sans" w:cs="Arial"/>
          <w:kern w:val="0"/>
          <w:sz w:val="20"/>
          <w:szCs w:val="20"/>
          <w:lang w:eastAsia="pt-BR" w:bidi="ar-SA"/>
        </w:rPr>
      </w:pPr>
      <w:r>
        <w:rPr>
          <w:rFonts w:eastAsia="Ecofont_Spranq_eco_Sans" w:cs="Arial" w:ascii="Arial" w:hAnsi="Arial"/>
          <w:kern w:val="0"/>
          <w:sz w:val="20"/>
          <w:szCs w:val="20"/>
          <w:lang w:eastAsia="pt-BR" w:bidi="ar-SA"/>
        </w:rPr>
        <w:t>No momento da entrega dos materiais os mesmos devem estar acondicionados adequadamente e na embalagem original.</w:t>
      </w:r>
    </w:p>
    <w:p>
      <w:pPr>
        <w:pStyle w:val="Textbody"/>
        <w:tabs>
          <w:tab w:val="left" w:pos="1702" w:leader="none"/>
        </w:tabs>
        <w:ind w:left="284" w:hanging="0"/>
        <w:jc w:val="both"/>
        <w:rPr>
          <w:rFonts w:ascii="Arial" w:hAnsi="Arial" w:eastAsia="Ecofont_Spranq_eco_Sans" w:cs="Arial"/>
          <w:kern w:val="0"/>
          <w:sz w:val="20"/>
          <w:szCs w:val="20"/>
          <w:lang w:eastAsia="pt-BR" w:bidi="ar-SA"/>
        </w:rPr>
      </w:pPr>
      <w:r>
        <w:rPr>
          <w:rFonts w:eastAsia="Ecofont_Spranq_eco_Sans" w:cs="Arial" w:ascii="Arial" w:hAnsi="Arial"/>
          <w:kern w:val="0"/>
          <w:sz w:val="20"/>
          <w:szCs w:val="20"/>
          <w:lang w:eastAsia="pt-BR" w:bidi="ar-SA"/>
        </w:rPr>
        <w:t>Não serão aceitos materiais com especificação ou marca diferente daquela ofertada e aceita na licitação.</w:t>
      </w:r>
    </w:p>
    <w:p>
      <w:pPr>
        <w:pStyle w:val="Normal"/>
        <w:spacing w:lineRule="auto" w:line="276" w:before="120" w:after="120"/>
        <w:ind w:left="425" w:hanging="0"/>
        <w:jc w:val="both"/>
        <w:rPr>
          <w:rFonts w:cs="Arial"/>
          <w:szCs w:val="20"/>
        </w:rPr>
      </w:pPr>
      <w:r>
        <w:rPr>
          <w:rFonts w:cs="Arial"/>
          <w:szCs w:val="20"/>
        </w:rPr>
        <w:t xml:space="preserve">O prazo de validade na data da entrega não poderá ser inferior a dois terços do prazo total recomendado pelo fabricante. </w:t>
      </w:r>
    </w:p>
    <w:p>
      <w:pPr>
        <w:pStyle w:val="Normal"/>
        <w:spacing w:lineRule="auto" w:line="276" w:before="120" w:after="120"/>
        <w:ind w:left="425" w:hanging="0"/>
        <w:jc w:val="both"/>
        <w:rPr>
          <w:rFonts w:cs="Arial"/>
          <w:b/>
          <w:b/>
          <w:bCs/>
          <w:szCs w:val="20"/>
        </w:rPr>
      </w:pPr>
      <w:r>
        <w:rPr>
          <w:rFonts w:cs="Arial"/>
          <w:szCs w:val="20"/>
        </w:rPr>
        <w:t xml:space="preserve">Os bens serão recebidos provisoriamente no prazo de 20 (vinte) dias, pelo </w:t>
      </w:r>
      <w:r>
        <w:rPr>
          <w:rFonts w:cs="Arial"/>
          <w:iCs/>
          <w:szCs w:val="20"/>
        </w:rPr>
        <w:t>responsável</w:t>
      </w:r>
      <w:r>
        <w:rPr>
          <w:rFonts w:cs="Arial"/>
          <w:szCs w:val="20"/>
        </w:rPr>
        <w:t xml:space="preserve"> pelo acompanhamento e fiscalização do contrato, para efeito de posterior verificação de sua conformidade com as especificações constantes neste Termo de Referência e na proposta. </w:t>
      </w:r>
    </w:p>
    <w:p>
      <w:pPr>
        <w:pStyle w:val="Normal"/>
        <w:spacing w:lineRule="auto" w:line="276" w:before="120" w:after="120"/>
        <w:ind w:left="425" w:hanging="0"/>
        <w:jc w:val="both"/>
        <w:rPr>
          <w:rFonts w:cs="Arial"/>
          <w:bCs/>
          <w:szCs w:val="20"/>
        </w:rPr>
      </w:pPr>
      <w:r>
        <w:rPr>
          <w:rFonts w:cs="Arial"/>
          <w:bCs/>
          <w:szCs w:val="20"/>
        </w:rPr>
        <w:t>Os bens poderão ser rejeitados, no todo ou em parte, quando em desacordo com as especificações constantes neste Termo de Referência e na proposta, devendo ser substituídos no prazo de 15 (quinze) dias, a contar da notificação da contratada, às suas custas, sem prejuízo da aplicação das penalidades.</w:t>
      </w:r>
    </w:p>
    <w:p>
      <w:pPr>
        <w:pStyle w:val="Normal"/>
        <w:spacing w:lineRule="auto" w:line="276" w:before="120" w:after="120"/>
        <w:ind w:left="425" w:hanging="0"/>
        <w:jc w:val="both"/>
        <w:rPr>
          <w:rFonts w:cs="Arial"/>
          <w:bCs/>
          <w:szCs w:val="20"/>
        </w:rPr>
      </w:pPr>
      <w:r>
        <w:rPr>
          <w:rFonts w:cs="Arial"/>
          <w:szCs w:val="20"/>
        </w:rPr>
        <w:t>Os bens serão recebidos definitivamente no prazo de 10 (dez) dias, contados do recebimento provisório, após a verificação da qualidade e quantidade do material e consequente aceitação mediante termo circunstanciado.</w:t>
      </w:r>
    </w:p>
    <w:p>
      <w:pPr>
        <w:pStyle w:val="Normal"/>
        <w:spacing w:lineRule="auto" w:line="276" w:before="120" w:after="120"/>
        <w:ind w:left="1134" w:hanging="0"/>
        <w:jc w:val="both"/>
        <w:rPr>
          <w:rFonts w:cs="Arial"/>
          <w:b/>
          <w:b/>
          <w:bCs/>
          <w:szCs w:val="20"/>
        </w:rPr>
      </w:pPr>
      <w:r>
        <w:rPr>
          <w:rFonts w:cs="Arial"/>
          <w:szCs w:val="20"/>
          <w:lang w:eastAsia="en-US"/>
        </w:rPr>
        <w:t>Na hipótese de a verificação a que se refere o subitem anterior não ser procedida dentro do prazo fixado, reputar-se-á como realizada, consumando-se o recebimento definitivo no dia do esgotamento do prazo.</w:t>
      </w:r>
    </w:p>
    <w:p>
      <w:pPr>
        <w:pStyle w:val="Normal"/>
        <w:spacing w:lineRule="auto" w:line="276" w:before="120" w:after="120"/>
        <w:ind w:left="425" w:hanging="0"/>
        <w:jc w:val="both"/>
        <w:rPr>
          <w:rFonts w:cs="Arial"/>
          <w:szCs w:val="20"/>
        </w:rPr>
      </w:pPr>
      <w:r>
        <w:rPr>
          <w:rFonts w:cs="Arial"/>
          <w:szCs w:val="20"/>
          <w:lang w:eastAsia="en-US"/>
        </w:rPr>
        <w:t>O recebimento provisório ou definitivo do objeto não exclui a responsabilidade da contratada pelos prejuízos resultantes da incorreta execução do contrato.</w:t>
      </w:r>
    </w:p>
    <w:p>
      <w:pPr>
        <w:pStyle w:val="Normal"/>
        <w:spacing w:lineRule="auto" w:line="276" w:before="120" w:after="120"/>
        <w:ind w:left="425" w:hanging="0"/>
        <w:jc w:val="both"/>
        <w:rPr>
          <w:rFonts w:cs="Arial"/>
          <w:szCs w:val="20"/>
        </w:rPr>
      </w:pPr>
      <w:r>
        <w:rPr>
          <w:rFonts w:cs="Arial"/>
          <w:bCs/>
          <w:szCs w:val="20"/>
        </w:rPr>
        <w:t>Medicamentos que necessitam de refrigeração ou condições especiais para transporte e armazenamento deverão ser entregues nas condições adequadas previstas em legislação pertinente.</w:t>
      </w:r>
    </w:p>
    <w:p>
      <w:pPr>
        <w:pStyle w:val="Nivel1"/>
        <w:numPr>
          <w:ilvl w:val="0"/>
          <w:numId w:val="1"/>
        </w:numPr>
        <w:rPr>
          <w:color w:val="00000A"/>
        </w:rPr>
      </w:pPr>
      <w:r>
        <w:rPr>
          <w:color w:val="00000A"/>
          <w:lang w:eastAsia="en-US"/>
        </w:rPr>
        <w:t>OBRIGAÇÕES DA CONTRATANTE</w:t>
      </w:r>
    </w:p>
    <w:p>
      <w:pPr>
        <w:pStyle w:val="Normal"/>
        <w:spacing w:lineRule="auto" w:line="276" w:before="120" w:after="120"/>
        <w:ind w:left="425" w:hanging="0"/>
        <w:jc w:val="both"/>
        <w:rPr>
          <w:rFonts w:cs="Arial"/>
          <w:b/>
          <w:b/>
          <w:szCs w:val="20"/>
        </w:rPr>
      </w:pPr>
      <w:r>
        <w:rPr>
          <w:rFonts w:cs="Arial"/>
          <w:szCs w:val="20"/>
        </w:rPr>
        <w:t>São obrigações da Contratante:</w:t>
      </w:r>
    </w:p>
    <w:p>
      <w:pPr>
        <w:pStyle w:val="Normal"/>
        <w:spacing w:lineRule="auto" w:line="276" w:before="120" w:after="120"/>
        <w:ind w:left="1134" w:hanging="0"/>
        <w:jc w:val="both"/>
        <w:rPr>
          <w:rFonts w:cs="Arial"/>
          <w:b/>
          <w:b/>
          <w:szCs w:val="20"/>
        </w:rPr>
      </w:pPr>
      <w:r>
        <w:rPr>
          <w:rFonts w:cs="Arial"/>
          <w:szCs w:val="20"/>
        </w:rPr>
        <w:t>receber o objeto no prazo e condições estabelecidas no Edital e seus anexos;</w:t>
      </w:r>
    </w:p>
    <w:p>
      <w:pPr>
        <w:pStyle w:val="Normal"/>
        <w:spacing w:lineRule="auto" w:line="276" w:before="120" w:after="120"/>
        <w:ind w:left="1134" w:hanging="0"/>
        <w:jc w:val="both"/>
        <w:rPr>
          <w:rFonts w:cs="Arial"/>
          <w:b/>
          <w:b/>
          <w:szCs w:val="20"/>
        </w:rPr>
      </w:pPr>
      <w:r>
        <w:rPr>
          <w:rFonts w:cs="Arial"/>
          <w:szCs w:val="20"/>
          <w:lang w:eastAsia="en-US"/>
        </w:rPr>
        <w:t>verificar minuciosamente, no prazo fixado, a conformidade dos bens recebidos provisoriamente com as especificações constantes do Edital e da proposta, para fins de aceitação e recebimento definitivo;</w:t>
      </w:r>
    </w:p>
    <w:p>
      <w:pPr>
        <w:pStyle w:val="Normal"/>
        <w:spacing w:lineRule="auto" w:line="276" w:before="120" w:after="120"/>
        <w:ind w:left="1134" w:hanging="0"/>
        <w:jc w:val="both"/>
        <w:rPr>
          <w:rFonts w:cs="Arial"/>
          <w:b/>
          <w:b/>
          <w:szCs w:val="20"/>
        </w:rPr>
      </w:pPr>
      <w:r>
        <w:rPr>
          <w:rFonts w:cs="Arial"/>
          <w:szCs w:val="20"/>
        </w:rPr>
        <w:t>comunicar à Contratada, por escrito, sobre imperfeições, falhas ou irregularidades verificadas no objeto fornecido, para que seja substituído, reparado ou corrigido;</w:t>
      </w:r>
    </w:p>
    <w:p>
      <w:pPr>
        <w:pStyle w:val="Normal"/>
        <w:spacing w:lineRule="auto" w:line="276" w:before="120" w:after="120"/>
        <w:ind w:left="1134" w:hanging="0"/>
        <w:jc w:val="both"/>
        <w:rPr>
          <w:rFonts w:cs="Arial"/>
          <w:b/>
          <w:b/>
          <w:szCs w:val="20"/>
        </w:rPr>
      </w:pPr>
      <w:r>
        <w:rPr>
          <w:rFonts w:cs="Arial"/>
          <w:szCs w:val="20"/>
          <w:lang w:eastAsia="en-US"/>
        </w:rPr>
        <w:t>acompanhar e fiscalizar o cumprimento das obrigações da Contratada, através de comissão/servidor especialmente designado;</w:t>
      </w:r>
    </w:p>
    <w:p>
      <w:pPr>
        <w:pStyle w:val="Normal"/>
        <w:spacing w:lineRule="auto" w:line="276" w:before="120" w:after="120"/>
        <w:ind w:left="1134" w:hanging="0"/>
        <w:jc w:val="both"/>
        <w:rPr>
          <w:rFonts w:cs="Arial"/>
          <w:b/>
          <w:b/>
          <w:szCs w:val="20"/>
        </w:rPr>
      </w:pPr>
      <w:r>
        <w:rPr>
          <w:rFonts w:cs="Arial"/>
          <w:szCs w:val="20"/>
        </w:rPr>
        <w:t>efetuar o pagamento à Contratada</w:t>
      </w:r>
      <w:r>
        <w:rPr>
          <w:rFonts w:cs="Arial"/>
          <w:b/>
          <w:szCs w:val="20"/>
        </w:rPr>
        <w:t xml:space="preserve"> </w:t>
      </w:r>
      <w:r>
        <w:rPr>
          <w:rFonts w:cs="Arial"/>
          <w:szCs w:val="20"/>
        </w:rPr>
        <w:t>no valor correspondente ao fornecimento do objeto, no prazo e forma estabelecidos no Edital e seus anexos;</w:t>
      </w:r>
    </w:p>
    <w:p>
      <w:pPr>
        <w:pStyle w:val="Normal"/>
        <w:spacing w:lineRule="auto" w:line="276" w:before="120" w:after="120"/>
        <w:ind w:left="425" w:hanging="0"/>
        <w:jc w:val="both"/>
        <w:rPr>
          <w:rFonts w:cs="Arial"/>
          <w:b/>
          <w:b/>
          <w:szCs w:val="20"/>
        </w:rPr>
      </w:pPr>
      <w:r>
        <w:rPr>
          <w:rFonts w:cs="Arial"/>
          <w:szCs w:val="20"/>
        </w:rPr>
        <w:t>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p>
      <w:pPr>
        <w:pStyle w:val="Nivel1"/>
        <w:numPr>
          <w:ilvl w:val="0"/>
          <w:numId w:val="1"/>
        </w:numPr>
        <w:rPr>
          <w:color w:val="00000A"/>
        </w:rPr>
      </w:pPr>
      <w:r>
        <w:rPr>
          <w:color w:val="00000A"/>
        </w:rPr>
        <w:t>OBRIGAÇÕES DA CONTRATADA</w:t>
      </w:r>
    </w:p>
    <w:p>
      <w:pPr>
        <w:pStyle w:val="Normal"/>
        <w:spacing w:lineRule="auto" w:line="276" w:before="120" w:after="120"/>
        <w:ind w:left="425" w:hanging="0"/>
        <w:jc w:val="both"/>
        <w:rPr>
          <w:rFonts w:cs="Arial"/>
          <w:b/>
          <w:b/>
          <w:szCs w:val="20"/>
        </w:rPr>
      </w:pPr>
      <w:r>
        <w:rPr>
          <w:rFonts w:cs="Arial"/>
          <w:szCs w:val="20"/>
        </w:rPr>
        <w:t>A Contratada deve cumprir todas as obrigações constantes no Edital, seus anexos e sua proposta, assumindo como exclusivamente seus os riscos e as despesas decorrentes da boa e perfeita execução do objeto e, ainda:</w:t>
      </w:r>
    </w:p>
    <w:p>
      <w:pPr>
        <w:pStyle w:val="Normal"/>
        <w:spacing w:lineRule="auto" w:line="276" w:before="120" w:after="120"/>
        <w:ind w:left="1134" w:hanging="0"/>
        <w:jc w:val="both"/>
        <w:rPr>
          <w:rFonts w:cs="Arial"/>
          <w:b/>
          <w:b/>
          <w:szCs w:val="20"/>
        </w:rPr>
      </w:pPr>
      <w:r>
        <w:rPr>
          <w:rFonts w:cs="Arial"/>
          <w:szCs w:val="20"/>
        </w:rPr>
        <w:t>efetuar a entrega do objeto em perfeitas condições, conforme especificações, prazo e local constantes no Termo de Referência e seus anexos, acompanhado da respectiva nota fiscal, na qual constarão as indicações referentes a: marca, fabricante, modelo, procedência e prazo de garantia ou validade;</w:t>
      </w:r>
    </w:p>
    <w:p>
      <w:pPr>
        <w:pStyle w:val="Normal"/>
        <w:spacing w:lineRule="auto" w:line="276" w:before="120" w:after="120"/>
        <w:ind w:left="1134" w:hanging="0"/>
        <w:jc w:val="both"/>
        <w:rPr>
          <w:rFonts w:cs="Arial"/>
          <w:szCs w:val="20"/>
        </w:rPr>
      </w:pPr>
      <w:r>
        <w:rPr>
          <w:rFonts w:cs="Arial"/>
          <w:szCs w:val="20"/>
        </w:rPr>
        <w:t>O objeto deve estar acompanhado do manual do usuário, com uma versão em português e da relação da rede de assistência técnica autorizada (Bula);</w:t>
      </w:r>
    </w:p>
    <w:p>
      <w:pPr>
        <w:pStyle w:val="Normal"/>
        <w:spacing w:lineRule="auto" w:line="276" w:before="120" w:after="120"/>
        <w:ind w:left="1134" w:hanging="0"/>
        <w:jc w:val="both"/>
        <w:rPr>
          <w:rFonts w:cs="Arial"/>
          <w:szCs w:val="20"/>
        </w:rPr>
      </w:pPr>
      <w:r>
        <w:rPr>
          <w:rFonts w:cs="Arial"/>
          <w:szCs w:val="20"/>
        </w:rPr>
        <w:t>responsabilizar-se pelos vícios e danos decorrentes do objeto, de acordo com os artigos 12, 13 e 17 a 27, do Código de Defesa do Consumidor (Lei nº 8.078, de 1990);</w:t>
      </w:r>
    </w:p>
    <w:p>
      <w:pPr>
        <w:pStyle w:val="Normal"/>
        <w:spacing w:lineRule="auto" w:line="276" w:before="120" w:after="120"/>
        <w:ind w:left="1134" w:hanging="0"/>
        <w:jc w:val="both"/>
        <w:rPr>
          <w:rFonts w:cs="Arial"/>
          <w:szCs w:val="20"/>
        </w:rPr>
      </w:pPr>
      <w:r>
        <w:rPr>
          <w:rFonts w:cs="Arial"/>
          <w:szCs w:val="20"/>
        </w:rPr>
        <w:t>substituir, reparar ou corrigir, às suas expensas, no prazo fixado neste Termo de Referência, o objeto com avarias ou defeitos;</w:t>
      </w:r>
    </w:p>
    <w:p>
      <w:pPr>
        <w:pStyle w:val="Normal"/>
        <w:spacing w:lineRule="auto" w:line="276" w:before="120" w:after="120"/>
        <w:ind w:left="1134" w:hanging="0"/>
        <w:jc w:val="both"/>
        <w:rPr>
          <w:rFonts w:cs="Arial"/>
          <w:szCs w:val="20"/>
        </w:rPr>
      </w:pPr>
      <w:r>
        <w:rPr>
          <w:rFonts w:cs="Arial"/>
          <w:szCs w:val="20"/>
        </w:rPr>
        <w:t>comunicar à Contratante, no prazo máximo de 24 (vinte e quatro) horas que antecede a data da entrega, os motivos que impossibilitem o cumprimento do prazo previsto, com a devida comprovação;</w:t>
      </w:r>
    </w:p>
    <w:p>
      <w:pPr>
        <w:pStyle w:val="Normal"/>
        <w:spacing w:lineRule="auto" w:line="276" w:before="120" w:after="120"/>
        <w:ind w:left="1134" w:hanging="0"/>
        <w:jc w:val="both"/>
        <w:rPr>
          <w:rFonts w:cs="Arial"/>
          <w:szCs w:val="20"/>
        </w:rPr>
      </w:pPr>
      <w:r>
        <w:rPr>
          <w:rFonts w:cs="Arial"/>
          <w:szCs w:val="20"/>
        </w:rPr>
        <w:t>manter, durante toda a execução do contrato, em compatibilidade com as obrigações assumidas, todas as condições de habilitação e qualificação exigidas na licitação;</w:t>
      </w:r>
    </w:p>
    <w:p>
      <w:pPr>
        <w:pStyle w:val="Normal"/>
        <w:spacing w:lineRule="auto" w:line="276" w:before="120" w:after="120"/>
        <w:ind w:left="1134" w:hanging="0"/>
        <w:jc w:val="both"/>
        <w:rPr>
          <w:rFonts w:cs="Arial"/>
          <w:szCs w:val="20"/>
        </w:rPr>
      </w:pPr>
      <w:r>
        <w:rPr>
          <w:rFonts w:cs="Arial"/>
          <w:szCs w:val="20"/>
        </w:rPr>
        <w:t>indicar preposto para representá-la durante a execução do contrato.</w:t>
      </w:r>
    </w:p>
    <w:p>
      <w:pPr>
        <w:pStyle w:val="Normal"/>
        <w:spacing w:lineRule="auto" w:line="276" w:before="120" w:after="120"/>
        <w:ind w:left="1134" w:hanging="0"/>
        <w:jc w:val="both"/>
        <w:rPr>
          <w:rFonts w:cs="Arial"/>
          <w:szCs w:val="20"/>
        </w:rPr>
      </w:pPr>
      <w:r>
        <w:rPr>
          <w:rFonts w:cs="Arial"/>
          <w:szCs w:val="20"/>
        </w:rPr>
        <w:t>promover a destinação final ambientalmente adequada, sempre que a legislação assim o exigir, como nos casos de pneus, pilhas e baterias, etc....</w:t>
      </w:r>
    </w:p>
    <w:p>
      <w:pPr>
        <w:pStyle w:val="Normal"/>
        <w:spacing w:lineRule="auto" w:line="276" w:before="120" w:after="120"/>
        <w:ind w:left="1134" w:hanging="0"/>
        <w:jc w:val="both"/>
        <w:rPr>
          <w:rFonts w:cs="Arial"/>
          <w:szCs w:val="20"/>
        </w:rPr>
      </w:pPr>
      <w:r>
        <w:rPr>
          <w:rFonts w:cs="Arial"/>
          <w:szCs w:val="20"/>
        </w:rPr>
        <w:t>Só será admitida a oferta de produto previamente notificado/registrado na ANVISA, conforme a Lei nº 6.360, de 1976 e Decreto nº 8.077, de 2013.</w:t>
      </w:r>
    </w:p>
    <w:p>
      <w:pPr>
        <w:pStyle w:val="Normal"/>
        <w:spacing w:lineRule="auto" w:line="276" w:before="120" w:after="120"/>
        <w:ind w:left="425" w:hanging="0"/>
        <w:jc w:val="both"/>
        <w:rPr>
          <w:rFonts w:cs="Arial"/>
          <w:iCs/>
          <w:szCs w:val="20"/>
        </w:rPr>
      </w:pPr>
      <w:r>
        <w:rPr>
          <w:rFonts w:cs="Arial"/>
          <w:iCs/>
          <w:szCs w:val="20"/>
        </w:rPr>
        <w:t>Quando não for possível a verificação da regularidade no Sistema de Cadastro de Fornecedores – SICAF, a empresa contratada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conforme alínea "c" do item 10.2 do Anexo VIII-B da IN SEGES/MP n. 5/2017;</w:t>
      </w:r>
    </w:p>
    <w:p>
      <w:pPr>
        <w:pStyle w:val="Nivel1"/>
        <w:numPr>
          <w:ilvl w:val="0"/>
          <w:numId w:val="1"/>
        </w:numPr>
        <w:rPr>
          <w:color w:val="00000A"/>
        </w:rPr>
      </w:pPr>
      <w:r>
        <w:rPr>
          <w:color w:val="00000A"/>
        </w:rPr>
        <w:t>DA SUBCONTRATAÇÃO</w:t>
      </w:r>
    </w:p>
    <w:p>
      <w:pPr>
        <w:pStyle w:val="ListParagraph"/>
        <w:spacing w:lineRule="auto" w:line="276" w:before="120" w:after="120"/>
        <w:contextualSpacing/>
        <w:jc w:val="both"/>
        <w:rPr>
          <w:rFonts w:cs="Arial"/>
          <w:szCs w:val="20"/>
        </w:rPr>
      </w:pPr>
      <w:r>
        <w:rPr>
          <w:rFonts w:cs="Arial"/>
          <w:szCs w:val="20"/>
        </w:rPr>
        <w:t>Não será admitida a subcontratação do objeto licitatório.</w:t>
      </w:r>
    </w:p>
    <w:p>
      <w:pPr>
        <w:pStyle w:val="Nivel1"/>
        <w:numPr>
          <w:ilvl w:val="0"/>
          <w:numId w:val="1"/>
        </w:numPr>
        <w:rPr>
          <w:color w:val="00000A"/>
          <w:lang w:eastAsia="en-US"/>
        </w:rPr>
      </w:pPr>
      <w:r>
        <w:rPr>
          <w:color w:val="00000A"/>
          <w:lang w:eastAsia="en-US"/>
        </w:rPr>
        <w:t>DA ALTERAÇÃO SUBJETIVA</w:t>
      </w:r>
    </w:p>
    <w:p>
      <w:pPr>
        <w:pStyle w:val="Normal"/>
        <w:spacing w:lineRule="auto" w:line="276" w:before="120" w:after="120"/>
        <w:ind w:left="425" w:hanging="0"/>
        <w:jc w:val="both"/>
        <w:rPr>
          <w:rFonts w:cs="Arial"/>
          <w:szCs w:val="20"/>
          <w:lang w:eastAsia="en-US"/>
        </w:rPr>
      </w:pPr>
      <w:r>
        <w:rPr>
          <w:rFonts w:cs="Arial"/>
          <w:szCs w:val="20"/>
          <w:lang w:eastAsia="en-US"/>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pPr>
        <w:pStyle w:val="Nivel1"/>
        <w:numPr>
          <w:ilvl w:val="0"/>
          <w:numId w:val="1"/>
        </w:numPr>
        <w:rPr>
          <w:color w:val="00000A"/>
          <w:lang w:eastAsia="en-US"/>
        </w:rPr>
      </w:pPr>
      <w:r>
        <w:rPr>
          <w:color w:val="00000A"/>
          <w:lang w:eastAsia="en-US"/>
        </w:rPr>
        <w:t>DO CONTROLE E FISCALIZAÇÃO DA EXECUÇÃO</w:t>
      </w:r>
    </w:p>
    <w:p>
      <w:pPr>
        <w:pStyle w:val="Normal"/>
        <w:spacing w:lineRule="auto" w:line="276" w:before="120" w:after="120"/>
        <w:ind w:left="425" w:hanging="0"/>
        <w:jc w:val="both"/>
        <w:rPr>
          <w:rFonts w:cs="Arial"/>
          <w:bCs/>
          <w:szCs w:val="20"/>
        </w:rPr>
      </w:pPr>
      <w:r>
        <w:rPr>
          <w:rFonts w:cs="Arial"/>
          <w:szCs w:val="20"/>
        </w:rPr>
        <w:t>Nos termos do art. 67 Lei nº 8.666, de 1993, será designado representante para acompanhar e fiscalizar a entrega dos bens, anotando em registro próprio todas as ocorrências relacionadas com a execução e determinando o que for necessário à regularização de falhas ou defeitos observados.</w:t>
      </w:r>
    </w:p>
    <w:p>
      <w:pPr>
        <w:pStyle w:val="Normal"/>
        <w:spacing w:lineRule="auto" w:line="276" w:before="120" w:after="120"/>
        <w:ind w:left="1134" w:hanging="0"/>
        <w:jc w:val="both"/>
        <w:rPr>
          <w:rFonts w:cs="Arial"/>
          <w:bCs/>
          <w:szCs w:val="20"/>
        </w:rPr>
      </w:pPr>
      <w:r>
        <w:rPr>
          <w:rFonts w:cs="Arial"/>
          <w:szCs w:val="20"/>
          <w:lang w:eastAsia="en-US"/>
        </w:rPr>
        <w:t>O recebimento de material de valor superior a R$ 176.000,00 (cento e setenta e seis mil reais) será confiado a uma comissão de, no mínimo, 3 (três) membros, designados pela autoridade competente.</w:t>
      </w:r>
    </w:p>
    <w:p>
      <w:pPr>
        <w:pStyle w:val="Normal"/>
        <w:spacing w:lineRule="auto" w:line="276" w:before="120" w:after="120"/>
        <w:ind w:left="425" w:hanging="0"/>
        <w:jc w:val="both"/>
        <w:rPr>
          <w:rFonts w:cs="Arial"/>
          <w:szCs w:val="20"/>
          <w:lang w:eastAsia="en-US"/>
        </w:rPr>
      </w:pPr>
      <w:r>
        <w:rPr>
          <w:rFonts w:cs="Arial"/>
          <w:szCs w:val="20"/>
          <w:lang w:eastAsia="en-US"/>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70 da Lei nº 8.666, de 1993.</w:t>
      </w:r>
    </w:p>
    <w:p>
      <w:pPr>
        <w:pStyle w:val="Normal"/>
        <w:spacing w:lineRule="auto" w:line="276" w:before="120" w:after="120"/>
        <w:ind w:left="425" w:hanging="0"/>
        <w:jc w:val="both"/>
        <w:rPr>
          <w:rFonts w:cs="Arial"/>
          <w:szCs w:val="20"/>
        </w:rPr>
      </w:pPr>
      <w:r>
        <w:rPr>
          <w:rFonts w:cs="Arial"/>
          <w:szCs w:val="20"/>
          <w:lang w:eastAsia="en-US"/>
        </w:rPr>
        <w:t>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pPr>
        <w:pStyle w:val="Nivel1"/>
        <w:numPr>
          <w:ilvl w:val="0"/>
          <w:numId w:val="1"/>
        </w:numPr>
        <w:rPr>
          <w:color w:val="00000A"/>
        </w:rPr>
      </w:pPr>
      <w:r>
        <w:rPr>
          <w:color w:val="00000A"/>
        </w:rPr>
        <w:t>DO PAGAMENTO</w:t>
      </w:r>
    </w:p>
    <w:p>
      <w:pPr>
        <w:pStyle w:val="ListParagraph"/>
        <w:spacing w:lineRule="auto" w:line="276" w:before="120" w:after="120"/>
        <w:jc w:val="both"/>
        <w:rPr>
          <w:rFonts w:cs="Arial"/>
          <w:szCs w:val="20"/>
          <w:lang w:eastAsia="en-US"/>
        </w:rPr>
      </w:pPr>
      <w:r>
        <w:rPr>
          <w:rFonts w:cs="Arial"/>
          <w:szCs w:val="20"/>
          <w:lang w:eastAsia="en-US"/>
        </w:rPr>
        <w:t xml:space="preserve">O pagamento será realizado no prazo máximo de até 30. (trinta) dias, contados a partir </w:t>
      </w:r>
      <w:r>
        <w:rPr>
          <w:rFonts w:cs="Arial"/>
          <w:szCs w:val="20"/>
        </w:rPr>
        <w:t xml:space="preserve">do recebimento da Nota Fiscal ou Fatura, </w:t>
      </w:r>
      <w:r>
        <w:rPr>
          <w:rFonts w:cs="Arial"/>
          <w:szCs w:val="20"/>
          <w:lang w:eastAsia="en-US"/>
        </w:rPr>
        <w:t>através de ordem bancária, para crédito em banco, agência e conta corrente indicados pelo contratado.</w:t>
      </w:r>
    </w:p>
    <w:p>
      <w:pPr>
        <w:pStyle w:val="ListParagraph"/>
        <w:spacing w:lineRule="auto" w:line="276" w:before="120" w:after="120"/>
        <w:jc w:val="both"/>
        <w:rPr>
          <w:rFonts w:cs="Arial"/>
          <w:szCs w:val="20"/>
          <w:lang w:eastAsia="en-US"/>
        </w:rPr>
      </w:pPr>
      <w:r>
        <w:rPr>
          <w:rFonts w:cs="Arial"/>
          <w:szCs w:val="20"/>
          <w:lang w:eastAsia="en-US"/>
        </w:rPr>
        <w:t xml:space="preserve">Os pagamentos decorrentes de despesas cujos valores não ultrapassem o limite </w:t>
      </w:r>
      <w:r>
        <w:rPr>
          <w:rFonts w:cs="Arial"/>
          <w:szCs w:val="20"/>
        </w:rPr>
        <w:t>de que trata o inciso II do art. 24</w:t>
      </w:r>
      <w:r>
        <w:rPr>
          <w:rFonts w:cs="Arial"/>
          <w:szCs w:val="20"/>
          <w:lang w:eastAsia="en-US"/>
        </w:rPr>
        <w:t xml:space="preserve"> da Lei 8.666, de 1993, deverão ser efetuados no prazo de até 5 (cinco) dias úteis, contados da data da apresentação da Nota Fiscal, nos termos do art. 5º, § 3º, da Lei nº 8.666, de 1993.</w:t>
      </w:r>
    </w:p>
    <w:p>
      <w:pPr>
        <w:pStyle w:val="ListParagraph"/>
        <w:spacing w:lineRule="auto" w:line="276" w:before="120" w:after="120"/>
        <w:jc w:val="both"/>
        <w:rPr>
          <w:rFonts w:cs="Arial"/>
          <w:strike/>
          <w:szCs w:val="20"/>
        </w:rPr>
      </w:pPr>
      <w:r>
        <w:rPr>
          <w:rFonts w:cs="Arial"/>
          <w:szCs w:val="20"/>
        </w:rPr>
        <w:t>Considera-se ocorrido o recebimento da nota fiscal ou fatura quando o órgão contratante atestar a execução do objeto do contrato.</w:t>
      </w:r>
    </w:p>
    <w:p>
      <w:pPr>
        <w:pStyle w:val="Normal"/>
        <w:spacing w:lineRule="auto" w:line="276" w:before="120" w:after="120"/>
        <w:jc w:val="both"/>
        <w:rPr>
          <w:rFonts w:cs="Arial"/>
          <w:szCs w:val="20"/>
        </w:rPr>
      </w:pPr>
      <w:r>
        <w:rPr>
          <w:rFonts w:cs="Arial"/>
          <w:szCs w:val="20"/>
        </w:rPr>
        <w:t xml:space="preserve">A Nota Fiscal ou Fatura deverá ser obrigatoriamente acompanhada da comprovação da regularidade fiscal, constatada por meio de consulta on-line ao SICAF ou, na impossibilidade de acesso </w:t>
      </w:r>
      <w:r>
        <w:rPr>
          <w:rFonts w:cs="Arial"/>
          <w:szCs w:val="20"/>
          <w:lang w:eastAsia="en-US"/>
        </w:rPr>
        <w:t>ao</w:t>
      </w:r>
      <w:r>
        <w:rPr>
          <w:rFonts w:cs="Arial"/>
          <w:szCs w:val="20"/>
        </w:rPr>
        <w:t xml:space="preserve"> referido Sistema, mediante consulta aos sítios eletrônicos oficiais ou à documentação mencionada no art. 29 da Lei nº 8.666, de 1993. </w:t>
      </w:r>
    </w:p>
    <w:p>
      <w:pPr>
        <w:pStyle w:val="Normal"/>
        <w:spacing w:lineRule="auto" w:line="276" w:before="120" w:after="120"/>
        <w:jc w:val="both"/>
        <w:rPr>
          <w:rFonts w:cs="Arial"/>
          <w:szCs w:val="20"/>
        </w:rPr>
      </w:pPr>
      <w:r>
        <w:rPr>
          <w:rFonts w:cs="Arial"/>
          <w:szCs w:val="20"/>
        </w:rPr>
        <w:t xml:space="preserve">Constatando-se, junto ao SICAF, a situação de irregularidade do fornecedor contratado, deverão ser tomadas as providências previstas no do art. 31 da Instrução </w:t>
      </w:r>
      <w:r>
        <w:rPr>
          <w:rFonts w:cs="Arial"/>
          <w:szCs w:val="20"/>
          <w:lang w:eastAsia="en-US"/>
        </w:rPr>
        <w:t>Normativa</w:t>
      </w:r>
      <w:r>
        <w:rPr>
          <w:rFonts w:cs="Arial"/>
          <w:szCs w:val="20"/>
        </w:rPr>
        <w:t xml:space="preserve"> nº 3, de 26 de abril de 2018.</w:t>
      </w:r>
    </w:p>
    <w:p>
      <w:pPr>
        <w:pStyle w:val="ListParagraph"/>
        <w:spacing w:lineRule="auto" w:line="276" w:before="120" w:after="120"/>
        <w:ind w:left="425" w:hanging="0"/>
        <w:jc w:val="both"/>
        <w:rPr>
          <w:rFonts w:cs="Arial"/>
          <w:szCs w:val="20"/>
          <w:lang w:eastAsia="en-US"/>
        </w:rPr>
      </w:pPr>
      <w:r>
        <w:rPr>
          <w:rFonts w:cs="Arial"/>
          <w:szCs w:val="20"/>
          <w:lang w:eastAsia="en-US"/>
        </w:rPr>
        <w:t xml:space="preserve">Havendo erro na apresentação da Nota Fiscal ou dos documentos pertinentes à contratação, ou, ainda, circunstância que impeça a liquidação da despesa, como, por exemplo, </w:t>
      </w:r>
      <w:r>
        <w:rPr>
          <w:rFonts w:cs="Arial"/>
          <w:szCs w:val="20"/>
        </w:rPr>
        <w:t>obrigação financeira pendente, decorrente de penalidade imposta ou inadimplência,</w:t>
      </w:r>
      <w:r>
        <w:rPr>
          <w:rFonts w:cs="Arial"/>
          <w:szCs w:val="20"/>
          <w:lang w:eastAsia="en-US"/>
        </w:rPr>
        <w:t xml:space="preserve"> o pagamento ficará sobrestado até que a Contratada providencie as medidas saneadoras. Nesta hipótese, o prazo para pagamento iniciar-se-á após a comprovação da regularização da situação, não acarretando qualquer ônus para a Contratante.</w:t>
      </w:r>
    </w:p>
    <w:p>
      <w:pPr>
        <w:pStyle w:val="Normal"/>
        <w:spacing w:lineRule="auto" w:line="276" w:before="120" w:after="120"/>
        <w:jc w:val="both"/>
        <w:rPr>
          <w:rFonts w:cs="Arial"/>
          <w:szCs w:val="20"/>
          <w:lang w:eastAsia="en-US"/>
        </w:rPr>
      </w:pPr>
      <w:r>
        <w:rPr>
          <w:rFonts w:cs="Arial"/>
          <w:szCs w:val="20"/>
          <w:lang w:eastAsia="en-US"/>
        </w:rPr>
        <w:t>Será considerada data do pagamento o dia em que constar como emitida a ordem bancária para pagamento.</w:t>
      </w:r>
    </w:p>
    <w:p>
      <w:pPr>
        <w:pStyle w:val="Normal"/>
        <w:spacing w:lineRule="auto" w:line="276" w:before="120" w:after="120"/>
        <w:jc w:val="both"/>
        <w:rPr>
          <w:rFonts w:cs="Arial"/>
          <w:szCs w:val="20"/>
          <w:lang w:eastAsia="en-US"/>
        </w:rPr>
      </w:pPr>
      <w:r>
        <w:rPr>
          <w:rFonts w:cs="Arial"/>
          <w:szCs w:val="20"/>
          <w:lang w:eastAsia="en-US"/>
        </w:rPr>
        <w:t xml:space="preserve">Antes de cada pagamento à contratada, será realizada consulta ao SICAF para verificar a manutenção das condições de habilitação exigidas no edital. </w:t>
      </w:r>
    </w:p>
    <w:p>
      <w:pPr>
        <w:pStyle w:val="Normal"/>
        <w:spacing w:lineRule="auto" w:line="276" w:before="120" w:after="120"/>
        <w:jc w:val="both"/>
        <w:rPr>
          <w:rFonts w:cs="Arial"/>
          <w:szCs w:val="20"/>
          <w:lang w:eastAsia="en-US"/>
        </w:rPr>
      </w:pPr>
      <w:r>
        <w:rPr>
          <w:rFonts w:cs="Arial"/>
          <w:szCs w:val="20"/>
          <w:lang w:eastAsia="en-US"/>
        </w:rPr>
        <w:t>Constatando-se, junto ao SICAF, a situação de irregularidade da contratada, será providenciada sua notificação, por escrito, para que, no prazo de 5 (cinco) dias úteis, regularize sua situação ou, no mesmo prazo, apresente sua defesa. O prazo poderá ser prorrogado uma vez, por igual período, a critério da contratante.</w:t>
      </w:r>
    </w:p>
    <w:p>
      <w:pPr>
        <w:pStyle w:val="Normal"/>
        <w:spacing w:lineRule="auto" w:line="276" w:before="120" w:after="120"/>
        <w:jc w:val="both"/>
        <w:rPr>
          <w:rFonts w:cs="Arial"/>
          <w:szCs w:val="20"/>
          <w:lang w:eastAsia="en-US"/>
        </w:rPr>
      </w:pPr>
      <w:r>
        <w:rPr>
          <w:rFonts w:cs="Arial"/>
          <w:szCs w:val="20"/>
          <w:lang w:eastAsia="en-US"/>
        </w:rPr>
        <w:t>Previamente à emissão de nota de empenho e a cada pagamento, a Administração deverá realizar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w:t>
      </w:r>
    </w:p>
    <w:p>
      <w:pPr>
        <w:pStyle w:val="Normal"/>
        <w:spacing w:lineRule="auto" w:line="276" w:before="120" w:after="120"/>
        <w:jc w:val="both"/>
        <w:rPr>
          <w:rFonts w:cs="Arial"/>
          <w:szCs w:val="20"/>
          <w:lang w:eastAsia="en-US"/>
        </w:rPr>
      </w:pPr>
      <w:r>
        <w:rPr>
          <w:rFonts w:cs="Arial"/>
          <w:szCs w:val="20"/>
          <w:lang w:eastAsia="en-US"/>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pPr>
        <w:pStyle w:val="Normal"/>
        <w:spacing w:lineRule="auto" w:line="276" w:before="120" w:after="120"/>
        <w:jc w:val="both"/>
        <w:rPr>
          <w:rFonts w:cs="Arial"/>
          <w:szCs w:val="20"/>
          <w:lang w:eastAsia="en-US"/>
        </w:rPr>
      </w:pPr>
      <w:r>
        <w:rPr>
          <w:rFonts w:cs="Arial"/>
          <w:szCs w:val="20"/>
          <w:lang w:eastAsia="en-US"/>
        </w:rPr>
        <w:t xml:space="preserve">Persistindo a irregularidade, a contratante deverá adotar as medidas necessárias à rescisão contratual nos autos do processo administrativo correspondente, assegurada à contratada a ampla defesa. </w:t>
      </w:r>
    </w:p>
    <w:p>
      <w:pPr>
        <w:pStyle w:val="Normal"/>
        <w:spacing w:lineRule="auto" w:line="276" w:before="120" w:after="120"/>
        <w:jc w:val="both"/>
        <w:rPr>
          <w:rFonts w:cs="Arial"/>
          <w:szCs w:val="20"/>
          <w:lang w:eastAsia="en-US"/>
        </w:rPr>
      </w:pPr>
      <w:r>
        <w:rPr>
          <w:rFonts w:cs="Arial"/>
          <w:szCs w:val="20"/>
          <w:lang w:eastAsia="en-US"/>
        </w:rPr>
        <w:t xml:space="preserve">Havendo a efetiva execução do objeto, os pagamentos serão realizados normalmente, até que se decida pela rescisão do contrato, caso a contratada não regularize sua situação junto ao SICAF.  </w:t>
      </w:r>
    </w:p>
    <w:p>
      <w:pPr>
        <w:pStyle w:val="ListParagraph"/>
        <w:spacing w:lineRule="auto" w:line="276" w:before="120" w:after="120"/>
        <w:ind w:left="716" w:hanging="0"/>
        <w:jc w:val="both"/>
        <w:rPr>
          <w:rFonts w:cs="Arial"/>
          <w:szCs w:val="20"/>
        </w:rPr>
      </w:pPr>
      <w:r>
        <w:rPr>
          <w:rFonts w:cs="Arial"/>
          <w:szCs w:val="20"/>
          <w:lang w:eastAsia="en-US"/>
        </w:rPr>
        <w:t>10.11.1. Será rescindido o contrato em execução com a contratada inadimplente no SICAF, salvo por motivo de economicidade, segurança nacional ou outro de interesse público de alta relevância, devidamente justificado, em qualquer caso, pela máxima autoridade da contratante.</w:t>
      </w:r>
    </w:p>
    <w:p>
      <w:pPr>
        <w:pStyle w:val="ListParagraph"/>
        <w:spacing w:lineRule="auto" w:line="276" w:before="120" w:after="120"/>
        <w:jc w:val="both"/>
        <w:rPr>
          <w:rFonts w:cs="Arial"/>
          <w:szCs w:val="20"/>
        </w:rPr>
      </w:pPr>
      <w:r>
        <w:rPr>
          <w:rFonts w:cs="Arial"/>
          <w:szCs w:val="20"/>
        </w:rPr>
        <w:t>Quando do pagamento, será efetuada a retenção tributária prevista na legislação aplicável.</w:t>
      </w:r>
    </w:p>
    <w:p>
      <w:pPr>
        <w:pStyle w:val="Normal"/>
        <w:tabs>
          <w:tab w:val="left" w:pos="1440" w:leader="none"/>
        </w:tabs>
        <w:snapToGrid w:val="false"/>
        <w:spacing w:lineRule="auto" w:line="276" w:before="120" w:after="120"/>
        <w:ind w:left="1134" w:hanging="0"/>
        <w:jc w:val="both"/>
        <w:rPr>
          <w:rFonts w:cs="Arial"/>
          <w:szCs w:val="20"/>
        </w:rPr>
      </w:pPr>
      <w:r>
        <w:rPr>
          <w:rFonts w:cs="Arial"/>
          <w:szCs w:val="20"/>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Pr>
          <w:rFonts w:cs="Arial"/>
          <w:szCs w:val="20"/>
          <w:lang w:eastAsia="en-US"/>
        </w:rPr>
        <w:t xml:space="preserve"> </w:t>
      </w:r>
    </w:p>
    <w:p>
      <w:pPr>
        <w:pStyle w:val="ListParagraph"/>
        <w:spacing w:lineRule="auto" w:line="276" w:before="120" w:after="120"/>
        <w:ind w:left="425" w:hanging="0"/>
        <w:jc w:val="both"/>
        <w:rPr>
          <w:rFonts w:cs="Arial"/>
          <w:szCs w:val="20"/>
        </w:rPr>
      </w:pPr>
      <w:r>
        <w:rPr>
          <w:rFonts w:cs="Arial"/>
          <w:szCs w:val="20"/>
          <w:lang w:eastAsia="en-US"/>
        </w:rPr>
        <w:t>Nos casos de eventuais atrasos de pagamento, desde que a Contratada não tenha concorrido, de alguma forma, para tanto,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r>
        <w:rPr>
          <w:rFonts w:cs="Arial"/>
          <w:szCs w:val="20"/>
        </w:rPr>
        <w:t>:</w:t>
      </w:r>
    </w:p>
    <w:p>
      <w:pPr>
        <w:pStyle w:val="Normal"/>
        <w:tabs>
          <w:tab w:val="left" w:pos="1701" w:leader="none"/>
        </w:tabs>
        <w:spacing w:lineRule="auto" w:line="276" w:before="120" w:after="120"/>
        <w:ind w:left="425" w:hanging="0"/>
        <w:jc w:val="both"/>
        <w:rPr>
          <w:rFonts w:cs="Arial"/>
          <w:szCs w:val="20"/>
        </w:rPr>
      </w:pPr>
      <w:r>
        <w:rPr>
          <w:rFonts w:cs="Arial"/>
          <w:szCs w:val="20"/>
        </w:rPr>
        <w:t>EM = I x N x VP, sendo:</w:t>
      </w:r>
    </w:p>
    <w:p>
      <w:pPr>
        <w:pStyle w:val="Normal"/>
        <w:tabs>
          <w:tab w:val="left" w:pos="1701" w:leader="none"/>
        </w:tabs>
        <w:spacing w:lineRule="auto" w:line="276" w:before="120" w:after="120"/>
        <w:ind w:left="425" w:hanging="0"/>
        <w:jc w:val="both"/>
        <w:rPr>
          <w:rFonts w:cs="Arial"/>
          <w:szCs w:val="20"/>
        </w:rPr>
      </w:pPr>
      <w:r>
        <w:rPr>
          <w:rFonts w:cs="Arial"/>
          <w:szCs w:val="20"/>
        </w:rPr>
        <w:t>EM = Encargos moratórios;</w:t>
      </w:r>
    </w:p>
    <w:p>
      <w:pPr>
        <w:pStyle w:val="Normal"/>
        <w:tabs>
          <w:tab w:val="left" w:pos="1701" w:leader="none"/>
        </w:tabs>
        <w:spacing w:lineRule="auto" w:line="276" w:before="120" w:after="120"/>
        <w:ind w:left="425" w:hanging="0"/>
        <w:jc w:val="both"/>
        <w:rPr>
          <w:rFonts w:cs="Arial"/>
          <w:szCs w:val="20"/>
        </w:rPr>
      </w:pPr>
      <w:r>
        <w:rPr>
          <w:rFonts w:cs="Arial"/>
          <w:szCs w:val="20"/>
        </w:rPr>
        <w:t>N = Número de dias entre a data prevista para o pagamento e a do efetivo pagamento;</w:t>
      </w:r>
    </w:p>
    <w:p>
      <w:pPr>
        <w:pStyle w:val="Normal"/>
        <w:tabs>
          <w:tab w:val="left" w:pos="1701" w:leader="none"/>
        </w:tabs>
        <w:spacing w:lineRule="auto" w:line="276" w:before="120" w:after="120"/>
        <w:ind w:left="425" w:hanging="0"/>
        <w:jc w:val="both"/>
        <w:rPr>
          <w:rFonts w:cs="Arial"/>
          <w:szCs w:val="20"/>
        </w:rPr>
      </w:pPr>
      <w:r>
        <w:rPr>
          <w:rFonts w:cs="Arial"/>
          <w:szCs w:val="20"/>
        </w:rPr>
        <w:t>VP = Valor da parcela a ser paga.</w:t>
      </w:r>
    </w:p>
    <w:p>
      <w:pPr>
        <w:pStyle w:val="Normal"/>
        <w:tabs>
          <w:tab w:val="left" w:pos="1701" w:leader="none"/>
        </w:tabs>
        <w:spacing w:lineRule="auto" w:line="276" w:before="120" w:after="120"/>
        <w:ind w:left="425" w:hanging="0"/>
        <w:jc w:val="both"/>
        <w:rPr>
          <w:rFonts w:cs="Arial"/>
          <w:szCs w:val="20"/>
        </w:rPr>
      </w:pPr>
      <w:r>
        <w:rPr>
          <w:rFonts w:cs="Arial"/>
          <w:szCs w:val="20"/>
        </w:rPr>
        <w:t>I = Índice de compensação financeira = 0,00016438, assim apurado:</w:t>
      </w:r>
    </w:p>
    <w:tbl>
      <w:tblPr>
        <w:tblStyle w:val="Tabelacomgrade"/>
        <w:tblW w:w="10223" w:type="dxa"/>
        <w:jc w:val="left"/>
        <w:tblInd w:w="425" w:type="dxa"/>
        <w:tblCellMar>
          <w:top w:w="0" w:type="dxa"/>
          <w:left w:w="108" w:type="dxa"/>
          <w:bottom w:w="0" w:type="dxa"/>
          <w:right w:w="108" w:type="dxa"/>
        </w:tblCellMar>
        <w:tblLook w:firstRow="1" w:noVBand="1" w:lastRow="0" w:firstColumn="1" w:lastColumn="0" w:noHBand="0" w:val="04a0"/>
      </w:tblPr>
      <w:tblGrid>
        <w:gridCol w:w="2553"/>
        <w:gridCol w:w="678"/>
        <w:gridCol w:w="1472"/>
        <w:gridCol w:w="5519"/>
      </w:tblGrid>
      <w:tr>
        <w:trPr>
          <w:trHeight w:val="1998" w:hRule="atLeast"/>
        </w:trPr>
        <w:tc>
          <w:tcPr>
            <w:tcW w:w="2553" w:type="dxa"/>
            <w:tcBorders>
              <w:top w:val="nil"/>
              <w:left w:val="nil"/>
              <w:bottom w:val="nil"/>
              <w:right w:val="nil"/>
              <w:insideH w:val="nil"/>
              <w:insideV w:val="nil"/>
            </w:tcBorders>
            <w:shd w:fill="auto" w:val="clear"/>
            <w:vAlign w:val="center"/>
          </w:tcPr>
          <w:p>
            <w:pPr>
              <w:pStyle w:val="Normal"/>
              <w:tabs>
                <w:tab w:val="left" w:pos="1701" w:leader="none"/>
              </w:tabs>
              <w:jc w:val="center"/>
              <w:rPr>
                <w:rFonts w:cs="Arial"/>
                <w:szCs w:val="20"/>
              </w:rPr>
            </w:pPr>
            <w:r>
              <w:rPr>
                <w:rFonts w:eastAsia="ＭＳ 明朝" w:cs="Arial" w:eastAsiaTheme="minorEastAsia"/>
                <w:szCs w:val="20"/>
                <w:lang w:eastAsia="en-US"/>
              </w:rPr>
              <w:t>I = (TX)</w:t>
            </w:r>
          </w:p>
        </w:tc>
        <w:tc>
          <w:tcPr>
            <w:tcW w:w="678" w:type="dxa"/>
            <w:tcBorders>
              <w:top w:val="nil"/>
              <w:left w:val="nil"/>
              <w:bottom w:val="nil"/>
              <w:right w:val="nil"/>
              <w:insideH w:val="nil"/>
              <w:insideV w:val="nil"/>
            </w:tcBorders>
            <w:shd w:fill="auto" w:val="clear"/>
            <w:vAlign w:val="center"/>
          </w:tcPr>
          <w:p>
            <w:pPr>
              <w:pStyle w:val="Normal"/>
              <w:tabs>
                <w:tab w:val="left" w:pos="1701" w:leader="none"/>
              </w:tabs>
              <w:rPr>
                <w:rFonts w:cs="Arial"/>
                <w:szCs w:val="20"/>
              </w:rPr>
            </w:pPr>
            <w:r>
              <w:rPr>
                <w:rFonts w:eastAsia="ＭＳ 明朝" w:cs="Arial" w:eastAsiaTheme="minorEastAsia"/>
                <w:szCs w:val="20"/>
                <w:lang w:eastAsia="en-US"/>
              </w:rPr>
              <w:t xml:space="preserve">I = </w:t>
            </w:r>
          </w:p>
        </w:tc>
        <w:tc>
          <w:tcPr>
            <w:tcW w:w="1472" w:type="dxa"/>
            <w:tcBorders>
              <w:top w:val="nil"/>
              <w:left w:val="nil"/>
              <w:right w:val="nil"/>
              <w:insideV w:val="nil"/>
            </w:tcBorders>
            <w:shd w:fill="auto" w:val="clear"/>
          </w:tcPr>
          <w:p>
            <w:pPr>
              <w:pStyle w:val="Normal"/>
              <w:tabs>
                <w:tab w:val="left" w:pos="1701" w:leader="none"/>
              </w:tabs>
              <w:jc w:val="center"/>
              <w:rPr>
                <w:rFonts w:cs="Arial"/>
                <w:szCs w:val="20"/>
              </w:rPr>
            </w:pPr>
            <w:r>
              <w:rPr>
                <w:rFonts w:eastAsia="ＭＳ 明朝" w:cs="Arial" w:eastAsiaTheme="minorEastAsia"/>
                <w:szCs w:val="20"/>
                <w:lang w:eastAsia="en-US"/>
              </w:rPr>
              <w:t>( 6 / 100 )</w:t>
            </w:r>
          </w:p>
        </w:tc>
        <w:tc>
          <w:tcPr>
            <w:tcW w:w="5519" w:type="dxa"/>
            <w:tcBorders>
              <w:top w:val="nil"/>
              <w:left w:val="nil"/>
              <w:bottom w:val="nil"/>
              <w:right w:val="nil"/>
              <w:insideH w:val="nil"/>
              <w:insideV w:val="nil"/>
            </w:tcBorders>
            <w:shd w:fill="auto" w:val="clear"/>
            <w:vAlign w:val="center"/>
          </w:tcPr>
          <w:p>
            <w:pPr>
              <w:pStyle w:val="Normal"/>
              <w:tabs>
                <w:tab w:val="left" w:pos="1701" w:leader="none"/>
              </w:tabs>
              <w:ind w:left="742" w:hanging="0"/>
              <w:rPr>
                <w:rFonts w:cs="Arial"/>
                <w:szCs w:val="20"/>
              </w:rPr>
            </w:pPr>
            <w:r>
              <w:rPr>
                <w:rFonts w:eastAsia="ＭＳ 明朝" w:cs="Arial" w:eastAsiaTheme="minorEastAsia"/>
                <w:szCs w:val="20"/>
                <w:lang w:eastAsia="en-US"/>
              </w:rPr>
              <w:t>I = 0,00016438</w:t>
            </w:r>
          </w:p>
          <w:p>
            <w:pPr>
              <w:pStyle w:val="Normal"/>
              <w:tabs>
                <w:tab w:val="left" w:pos="1701" w:leader="none"/>
              </w:tabs>
              <w:ind w:left="742" w:hanging="0"/>
              <w:rPr>
                <w:rFonts w:cs="Arial"/>
                <w:szCs w:val="20"/>
              </w:rPr>
            </w:pPr>
            <w:r>
              <w:rPr>
                <w:rFonts w:eastAsia="ＭＳ 明朝" w:cs="Arial" w:eastAsiaTheme="minorEastAsia"/>
                <w:szCs w:val="20"/>
                <w:lang w:eastAsia="en-US"/>
              </w:rPr>
              <w:t>TX = Percentual da taxa anual = 6%</w:t>
            </w:r>
          </w:p>
        </w:tc>
      </w:tr>
    </w:tbl>
    <w:p>
      <w:pPr>
        <w:pStyle w:val="Normal"/>
        <w:rPr>
          <w:rFonts w:cs="Arial"/>
          <w:szCs w:val="20"/>
        </w:rPr>
      </w:pPr>
      <w:r>
        <w:rPr>
          <w:rFonts w:cs="Arial"/>
          <w:szCs w:val="20"/>
        </w:rPr>
        <w:t xml:space="preserve">                                                                            </w:t>
      </w:r>
      <w:r>
        <w:rPr>
          <w:rFonts w:cs="Arial"/>
          <w:szCs w:val="20"/>
        </w:rPr>
        <w:t>365</w:t>
      </w:r>
    </w:p>
    <w:p>
      <w:pPr>
        <w:pStyle w:val="Nivel1"/>
        <w:numPr>
          <w:ilvl w:val="0"/>
          <w:numId w:val="1"/>
        </w:numPr>
        <w:rPr>
          <w:color w:val="00000A"/>
        </w:rPr>
      </w:pPr>
      <w:r>
        <w:rPr>
          <w:color w:val="00000A"/>
        </w:rPr>
        <w:t xml:space="preserve">DO REAJUSTE </w:t>
      </w:r>
    </w:p>
    <w:p>
      <w:pPr>
        <w:pStyle w:val="Normal"/>
        <w:rPr>
          <w:rFonts w:cs="Arial"/>
          <w:szCs w:val="20"/>
        </w:rPr>
      </w:pPr>
      <w:r>
        <w:rPr>
          <w:rFonts w:cs="Arial"/>
          <w:szCs w:val="20"/>
        </w:rPr>
      </w:r>
    </w:p>
    <w:p>
      <w:pPr>
        <w:pStyle w:val="Normal"/>
        <w:spacing w:lineRule="auto" w:line="276" w:before="120" w:after="120"/>
        <w:ind w:left="425" w:hanging="0"/>
        <w:jc w:val="both"/>
        <w:rPr>
          <w:rFonts w:cs="Arial"/>
          <w:szCs w:val="20"/>
        </w:rPr>
      </w:pPr>
      <w:r>
        <w:rPr>
          <w:rFonts w:cs="Arial"/>
          <w:szCs w:val="20"/>
        </w:rPr>
        <w:t>Os preços inicialmente contratados são fixos e irreajustáveis no prazo de um ano contado da data limite para a apresentação das propostas.</w:t>
      </w:r>
    </w:p>
    <w:p>
      <w:pPr>
        <w:pStyle w:val="Normal"/>
        <w:spacing w:lineRule="auto" w:line="276" w:before="120" w:after="120"/>
        <w:ind w:left="425" w:hanging="0"/>
        <w:jc w:val="both"/>
        <w:rPr>
          <w:rFonts w:cs="Arial"/>
          <w:szCs w:val="20"/>
        </w:rPr>
      </w:pPr>
      <w:r>
        <w:rPr>
          <w:rFonts w:cs="Arial"/>
          <w:szCs w:val="20"/>
        </w:rPr>
        <w:t>Após o interregno de um ano, e independentemente de pedido da CONTRATADA, os preços iniciais serão reajustados, mediante a aplicação, pela CONTRATANTE, do índice IPCA/IBGE</w:t>
      </w:r>
      <w:r>
        <w:rPr>
          <w:rFonts w:cs="Arial"/>
          <w:iCs/>
          <w:szCs w:val="20"/>
        </w:rPr>
        <w:t>,</w:t>
      </w:r>
      <w:r>
        <w:rPr>
          <w:rFonts w:cs="Arial"/>
          <w:szCs w:val="20"/>
        </w:rPr>
        <w:t xml:space="preserve"> exclusivamente para as obrigações iniciadas e concluídas após a ocorrência da anualidade, com base na seguinte fórmula (art. 5º do Decreto n.º 1.054, de 1994): </w:t>
      </w:r>
    </w:p>
    <w:p>
      <w:pPr>
        <w:pStyle w:val="Normal"/>
        <w:spacing w:lineRule="auto" w:line="276" w:before="120" w:after="120"/>
        <w:ind w:left="1418" w:hanging="0"/>
        <w:jc w:val="both"/>
        <w:rPr>
          <w:rFonts w:cs="Arial"/>
          <w:szCs w:val="20"/>
        </w:rPr>
      </w:pPr>
      <w:r>
        <w:rPr>
          <w:rFonts w:cs="Arial"/>
          <w:szCs w:val="20"/>
        </w:rPr>
        <w:t>R = V (I – Iº) / Iº, onde:</w:t>
      </w:r>
    </w:p>
    <w:p>
      <w:pPr>
        <w:pStyle w:val="Normal"/>
        <w:spacing w:lineRule="auto" w:line="276" w:before="120" w:after="120"/>
        <w:ind w:left="1418" w:hanging="0"/>
        <w:jc w:val="both"/>
        <w:rPr>
          <w:rFonts w:cs="Arial"/>
          <w:szCs w:val="20"/>
        </w:rPr>
      </w:pPr>
      <w:r>
        <w:rPr>
          <w:rFonts w:cs="Arial"/>
          <w:szCs w:val="20"/>
        </w:rPr>
        <w:t>R = Valor do reajuste procurado;</w:t>
      </w:r>
    </w:p>
    <w:p>
      <w:pPr>
        <w:pStyle w:val="Normal"/>
        <w:spacing w:lineRule="auto" w:line="276" w:before="120" w:after="120"/>
        <w:ind w:left="1418" w:hanging="0"/>
        <w:jc w:val="both"/>
        <w:rPr>
          <w:rFonts w:cs="Arial"/>
          <w:szCs w:val="20"/>
        </w:rPr>
      </w:pPr>
      <w:r>
        <w:rPr>
          <w:rFonts w:cs="Arial"/>
          <w:szCs w:val="20"/>
        </w:rPr>
        <w:t>V = Valor contratual a ser reajustado;</w:t>
      </w:r>
    </w:p>
    <w:p>
      <w:pPr>
        <w:pStyle w:val="Normal"/>
        <w:spacing w:lineRule="auto" w:line="276" w:before="120" w:after="120"/>
        <w:ind w:left="1418" w:hanging="0"/>
        <w:jc w:val="both"/>
        <w:rPr>
          <w:rFonts w:cs="Arial"/>
          <w:szCs w:val="20"/>
        </w:rPr>
      </w:pPr>
      <w:r>
        <w:rPr>
          <w:rFonts w:cs="Arial"/>
          <w:szCs w:val="20"/>
        </w:rPr>
        <w:t>Iº = índice inicial - refere-se ao índice de custos ou de preços correspondente à data fixada para entrega da proposta na licitação;</w:t>
      </w:r>
    </w:p>
    <w:p>
      <w:pPr>
        <w:pStyle w:val="Normal"/>
        <w:spacing w:lineRule="auto" w:line="276" w:before="120" w:after="120"/>
        <w:ind w:left="1418" w:hanging="0"/>
        <w:jc w:val="both"/>
        <w:rPr>
          <w:rFonts w:cs="Arial"/>
          <w:szCs w:val="20"/>
        </w:rPr>
      </w:pPr>
      <w:r>
        <w:rPr>
          <w:rFonts w:cs="Arial"/>
          <w:szCs w:val="20"/>
        </w:rPr>
        <w:t>I = Índice relativo ao mês do reajustamento;</w:t>
      </w:r>
    </w:p>
    <w:p>
      <w:pPr>
        <w:pStyle w:val="Normal"/>
        <w:spacing w:lineRule="auto" w:line="276" w:before="120" w:after="120"/>
        <w:ind w:left="425" w:hanging="0"/>
        <w:jc w:val="both"/>
        <w:rPr>
          <w:rFonts w:cs="Arial"/>
          <w:szCs w:val="20"/>
        </w:rPr>
      </w:pPr>
      <w:r>
        <w:rPr>
          <w:rFonts w:cs="Arial"/>
          <w:szCs w:val="20"/>
        </w:rPr>
        <w:t>Nos reajustes subsequentes ao primeiro, o interregno mínimo de um ano será contado a partir dos efeitos financeiros do último reajuste.</w:t>
      </w:r>
    </w:p>
    <w:p>
      <w:pPr>
        <w:pStyle w:val="Normal"/>
        <w:spacing w:lineRule="auto" w:line="276" w:before="120" w:after="120"/>
        <w:ind w:left="425" w:hanging="0"/>
        <w:jc w:val="both"/>
        <w:rPr>
          <w:rFonts w:cs="Arial"/>
          <w:szCs w:val="20"/>
        </w:rPr>
      </w:pPr>
      <w:r>
        <w:rPr>
          <w:rFonts w:cs="Arial"/>
          <w:szCs w:val="20"/>
        </w:rPr>
        <w:t xml:space="preserve">No caso de atraso ou não divulgação do índice de reajustamento, o CONTRATANTE pagará à CONTRATADA a importância calculada pela última variação conhecida, liquidando a diferença correspondente tão logo seja divulgado o índice definitivo. </w:t>
      </w:r>
    </w:p>
    <w:p>
      <w:pPr>
        <w:pStyle w:val="Normal"/>
        <w:spacing w:lineRule="auto" w:line="276" w:before="120" w:after="120"/>
        <w:ind w:left="425" w:hanging="0"/>
        <w:jc w:val="both"/>
        <w:rPr>
          <w:rFonts w:cs="Arial"/>
          <w:szCs w:val="20"/>
        </w:rPr>
      </w:pPr>
      <w:r>
        <w:rPr>
          <w:rFonts w:cs="Arial"/>
          <w:szCs w:val="20"/>
        </w:rPr>
        <w:t>Nas aferições finais, o índice utilizado para reajuste será, obrigatoriamente, o definitivo.</w:t>
      </w:r>
    </w:p>
    <w:p>
      <w:pPr>
        <w:pStyle w:val="Normal"/>
        <w:spacing w:lineRule="auto" w:line="276" w:before="120" w:after="120"/>
        <w:ind w:left="425" w:hanging="0"/>
        <w:jc w:val="both"/>
        <w:rPr>
          <w:rFonts w:cs="Arial"/>
          <w:szCs w:val="20"/>
        </w:rPr>
      </w:pPr>
      <w:r>
        <w:rPr>
          <w:rFonts w:cs="Arial"/>
          <w:szCs w:val="20"/>
        </w:rPr>
        <w:t>Caso o índice estabelecido para reajustamento venha a ser extinto ou de qualquer forma não possa mais ser utilizado, será adotado, em substituição, o que vier a ser determinado pela legislação então em vigor.</w:t>
      </w:r>
    </w:p>
    <w:p>
      <w:pPr>
        <w:pStyle w:val="Normal"/>
        <w:spacing w:lineRule="auto" w:line="276" w:before="120" w:after="120"/>
        <w:ind w:left="425" w:hanging="0"/>
        <w:jc w:val="both"/>
        <w:rPr>
          <w:rFonts w:cs="Arial"/>
          <w:szCs w:val="20"/>
        </w:rPr>
      </w:pPr>
      <w:r>
        <w:rPr>
          <w:rFonts w:cs="Arial"/>
          <w:szCs w:val="20"/>
        </w:rPr>
        <w:t xml:space="preserve">Na ausência de previsão legal quanto ao índice substituto, as partes elegerão novo índice oficial, para reajustamento do preço do valor remanescente, por meio de termo aditivo. </w:t>
      </w:r>
    </w:p>
    <w:p>
      <w:pPr>
        <w:pStyle w:val="Normal"/>
        <w:spacing w:lineRule="auto" w:line="276" w:before="120" w:after="120"/>
        <w:ind w:left="425" w:hanging="0"/>
        <w:jc w:val="both"/>
        <w:rPr>
          <w:rFonts w:cs="Arial"/>
          <w:szCs w:val="20"/>
        </w:rPr>
      </w:pPr>
      <w:r>
        <w:rPr>
          <w:rFonts w:cs="Arial"/>
          <w:szCs w:val="20"/>
        </w:rPr>
        <w:t>O reajuste será realizado por apostilamento.</w:t>
      </w:r>
    </w:p>
    <w:p>
      <w:pPr>
        <w:pStyle w:val="Normal"/>
        <w:spacing w:lineRule="auto" w:line="276" w:before="0" w:after="120"/>
        <w:ind w:left="425" w:hanging="0"/>
        <w:jc w:val="both"/>
        <w:rPr>
          <w:rFonts w:cs="Arial"/>
          <w:szCs w:val="20"/>
        </w:rPr>
      </w:pPr>
      <w:r>
        <w:rPr>
          <w:rFonts w:cs="Arial"/>
          <w:szCs w:val="20"/>
        </w:rPr>
      </w:r>
    </w:p>
    <w:p>
      <w:pPr>
        <w:pStyle w:val="Nivel1"/>
        <w:numPr>
          <w:ilvl w:val="0"/>
          <w:numId w:val="1"/>
        </w:numPr>
        <w:spacing w:before="0" w:after="120"/>
        <w:rPr>
          <w:color w:val="00000A"/>
        </w:rPr>
      </w:pPr>
      <w:r>
        <w:rPr>
          <w:color w:val="00000A"/>
        </w:rPr>
        <w:t>DA GARANTIA DE EXECUÇÃO</w:t>
      </w:r>
    </w:p>
    <w:p>
      <w:pPr>
        <w:pStyle w:val="Normal"/>
        <w:spacing w:lineRule="auto" w:line="276" w:before="120" w:after="120"/>
        <w:jc w:val="both"/>
        <w:rPr>
          <w:rFonts w:cs="Arial"/>
          <w:szCs w:val="20"/>
        </w:rPr>
      </w:pPr>
      <w:r>
        <w:rPr>
          <w:rFonts w:cs="Arial"/>
          <w:szCs w:val="20"/>
        </w:rPr>
        <w:t>Não haverá exigência de garantia contratual da execução, pelas razões abaixo justificadas:</w:t>
      </w:r>
    </w:p>
    <w:p>
      <w:pPr>
        <w:pStyle w:val="Nivel1"/>
        <w:numPr>
          <w:ilvl w:val="0"/>
          <w:numId w:val="1"/>
        </w:numPr>
        <w:ind w:left="357" w:hanging="357"/>
        <w:rPr>
          <w:color w:val="00000A"/>
        </w:rPr>
      </w:pPr>
      <w:r>
        <w:rPr>
          <w:color w:val="00000A"/>
        </w:rPr>
        <w:t>DAS SANÇÕES ADMINISTRATIVAS</w:t>
      </w:r>
    </w:p>
    <w:p>
      <w:pPr>
        <w:pStyle w:val="Normal"/>
        <w:numPr>
          <w:ilvl w:val="1"/>
          <w:numId w:val="2"/>
        </w:numPr>
        <w:spacing w:lineRule="auto" w:line="276" w:before="120" w:after="120"/>
        <w:ind w:left="425" w:hanging="0"/>
        <w:jc w:val="both"/>
        <w:rPr>
          <w:rFonts w:cs="Arial"/>
          <w:szCs w:val="20"/>
        </w:rPr>
      </w:pPr>
      <w:r>
        <w:rPr>
          <w:rFonts w:cs="Arial"/>
          <w:szCs w:val="20"/>
        </w:rPr>
        <w:t>Comete infração administrativa nos termos da Lei nº 10.520, de 2002, a Contratada que:</w:t>
      </w:r>
    </w:p>
    <w:p>
      <w:pPr>
        <w:pStyle w:val="PargrafodaLista1"/>
        <w:numPr>
          <w:ilvl w:val="2"/>
          <w:numId w:val="5"/>
        </w:numPr>
        <w:spacing w:lineRule="auto" w:line="276" w:before="120" w:after="120"/>
        <w:ind w:left="1224" w:right="-30" w:hanging="504"/>
        <w:jc w:val="both"/>
        <w:rPr>
          <w:rFonts w:ascii="Arial" w:hAnsi="Arial" w:cs="Arial"/>
          <w:sz w:val="20"/>
          <w:szCs w:val="20"/>
        </w:rPr>
      </w:pPr>
      <w:r>
        <w:rPr>
          <w:rFonts w:cs="Arial" w:ascii="Arial" w:hAnsi="Arial"/>
          <w:sz w:val="20"/>
          <w:szCs w:val="20"/>
        </w:rPr>
        <w:t>falhar na execução do contrato, pela inexecução, total ou parcial, de quaisquer das obrigações assumidas na contratação;</w:t>
      </w:r>
    </w:p>
    <w:p>
      <w:pPr>
        <w:pStyle w:val="PargrafodaLista1"/>
        <w:numPr>
          <w:ilvl w:val="2"/>
          <w:numId w:val="5"/>
        </w:numPr>
        <w:spacing w:lineRule="auto" w:line="276" w:before="120" w:after="120"/>
        <w:ind w:left="1224" w:right="-30" w:hanging="504"/>
        <w:jc w:val="both"/>
        <w:rPr>
          <w:rFonts w:ascii="Arial" w:hAnsi="Arial" w:cs="Arial"/>
          <w:sz w:val="20"/>
          <w:szCs w:val="20"/>
        </w:rPr>
      </w:pPr>
      <w:r>
        <w:rPr>
          <w:rFonts w:cs="Arial" w:ascii="Arial" w:hAnsi="Arial"/>
          <w:sz w:val="20"/>
          <w:szCs w:val="20"/>
        </w:rPr>
        <w:t>ensejar o retardamento da execução do objeto;</w:t>
      </w:r>
    </w:p>
    <w:p>
      <w:pPr>
        <w:pStyle w:val="PargrafodaLista1"/>
        <w:numPr>
          <w:ilvl w:val="2"/>
          <w:numId w:val="5"/>
        </w:numPr>
        <w:spacing w:lineRule="auto" w:line="276" w:before="120" w:after="120"/>
        <w:ind w:left="1224" w:right="-30" w:hanging="504"/>
        <w:jc w:val="both"/>
        <w:rPr>
          <w:rFonts w:ascii="Arial" w:hAnsi="Arial" w:cs="Arial"/>
          <w:sz w:val="20"/>
          <w:szCs w:val="20"/>
        </w:rPr>
      </w:pPr>
      <w:r>
        <w:rPr>
          <w:rFonts w:cs="Arial" w:ascii="Arial" w:hAnsi="Arial"/>
          <w:sz w:val="20"/>
          <w:szCs w:val="20"/>
        </w:rPr>
        <w:t>fraudar na execução do contrato;</w:t>
      </w:r>
    </w:p>
    <w:p>
      <w:pPr>
        <w:pStyle w:val="PargrafodaLista1"/>
        <w:numPr>
          <w:ilvl w:val="2"/>
          <w:numId w:val="5"/>
        </w:numPr>
        <w:spacing w:lineRule="auto" w:line="276" w:before="120" w:after="120"/>
        <w:ind w:left="1224" w:right="-30" w:hanging="504"/>
        <w:jc w:val="both"/>
        <w:rPr>
          <w:rFonts w:ascii="Arial" w:hAnsi="Arial" w:cs="Arial"/>
          <w:sz w:val="20"/>
          <w:szCs w:val="20"/>
        </w:rPr>
      </w:pPr>
      <w:r>
        <w:rPr>
          <w:rFonts w:cs="Arial" w:ascii="Arial" w:hAnsi="Arial"/>
          <w:sz w:val="20"/>
          <w:szCs w:val="20"/>
        </w:rPr>
        <w:t>comportar-se de modo inidôneo; ou</w:t>
      </w:r>
    </w:p>
    <w:p>
      <w:pPr>
        <w:pStyle w:val="PargrafodaLista1"/>
        <w:numPr>
          <w:ilvl w:val="2"/>
          <w:numId w:val="5"/>
        </w:numPr>
        <w:spacing w:lineRule="auto" w:line="276" w:before="120" w:after="120"/>
        <w:ind w:left="1224" w:right="-30" w:hanging="504"/>
        <w:jc w:val="both"/>
        <w:rPr>
          <w:rFonts w:ascii="Arial" w:hAnsi="Arial" w:cs="Arial"/>
          <w:sz w:val="20"/>
          <w:szCs w:val="20"/>
        </w:rPr>
      </w:pPr>
      <w:r>
        <w:rPr>
          <w:rFonts w:cs="Arial" w:ascii="Arial" w:hAnsi="Arial"/>
          <w:sz w:val="20"/>
          <w:szCs w:val="20"/>
        </w:rPr>
        <w:t>cometer fraude fiscal.</w:t>
      </w:r>
    </w:p>
    <w:p>
      <w:pPr>
        <w:pStyle w:val="Normal"/>
        <w:numPr>
          <w:ilvl w:val="1"/>
          <w:numId w:val="2"/>
        </w:numPr>
        <w:spacing w:lineRule="auto" w:line="276" w:before="120" w:after="120"/>
        <w:ind w:left="425" w:hanging="0"/>
        <w:jc w:val="both"/>
        <w:rPr>
          <w:rFonts w:cs="Arial"/>
          <w:szCs w:val="20"/>
        </w:rPr>
      </w:pPr>
      <w:r>
        <w:rPr>
          <w:rFonts w:cs="Arial"/>
          <w:szCs w:val="20"/>
        </w:rPr>
        <w:t>Pela inexecução total ou parcial do objeto deste contrato, a Administração pode aplicar à CONTRATADA as seguintes sanções:</w:t>
      </w:r>
    </w:p>
    <w:p>
      <w:pPr>
        <w:pStyle w:val="Normal"/>
        <w:numPr>
          <w:ilvl w:val="2"/>
          <w:numId w:val="6"/>
        </w:numPr>
        <w:spacing w:lineRule="auto" w:line="276" w:before="120" w:after="120"/>
        <w:jc w:val="both"/>
        <w:rPr>
          <w:rFonts w:cs="Arial"/>
          <w:szCs w:val="20"/>
        </w:rPr>
      </w:pPr>
      <w:r>
        <w:rPr>
          <w:rFonts w:cs="Arial"/>
          <w:b/>
          <w:bCs/>
          <w:szCs w:val="20"/>
        </w:rPr>
        <w:t>Advertência por escrito</w:t>
      </w:r>
      <w:r>
        <w:rPr>
          <w:rFonts w:cs="Arial"/>
          <w:szCs w:val="20"/>
        </w:rPr>
        <w:t>, quando do não cumprimento de quaisquer das obrigações contratuais consideradas faltas leves, assim entendidas aquelas que não acarretam prejuízos significativos para o serviço contratado;</w:t>
      </w:r>
    </w:p>
    <w:p>
      <w:pPr>
        <w:pStyle w:val="Normal"/>
        <w:numPr>
          <w:ilvl w:val="2"/>
          <w:numId w:val="6"/>
        </w:numPr>
        <w:spacing w:lineRule="auto" w:line="276" w:before="120" w:after="120"/>
        <w:jc w:val="both"/>
        <w:rPr>
          <w:rFonts w:cs="Arial"/>
          <w:szCs w:val="20"/>
        </w:rPr>
      </w:pPr>
      <w:r>
        <w:rPr>
          <w:rFonts w:cs="Arial"/>
          <w:b/>
          <w:bCs/>
          <w:szCs w:val="20"/>
        </w:rPr>
        <w:t>Multa:</w:t>
      </w:r>
    </w:p>
    <w:p>
      <w:pPr>
        <w:pStyle w:val="Normal"/>
        <w:numPr>
          <w:ilvl w:val="3"/>
          <w:numId w:val="6"/>
        </w:numPr>
        <w:spacing w:lineRule="auto" w:line="276" w:before="120" w:after="120"/>
        <w:jc w:val="both"/>
        <w:rPr>
          <w:rFonts w:cs="Arial"/>
          <w:szCs w:val="20"/>
        </w:rPr>
      </w:pPr>
      <w:r>
        <w:rPr>
          <w:rFonts w:cs="Arial"/>
          <w:szCs w:val="20"/>
        </w:rPr>
        <w:t>moratória de 0,33% (zero virgula trinta e três por cento) por dia de atraso injustificado sobre o valor da parcela inadimplida, até o limite de 30 (trinta) dias;</w:t>
      </w:r>
    </w:p>
    <w:p>
      <w:pPr>
        <w:pStyle w:val="Normal"/>
        <w:numPr>
          <w:ilvl w:val="3"/>
          <w:numId w:val="6"/>
        </w:numPr>
        <w:spacing w:lineRule="auto" w:line="276" w:before="120" w:after="120"/>
        <w:jc w:val="both"/>
        <w:rPr>
          <w:rFonts w:cs="Arial"/>
          <w:szCs w:val="20"/>
        </w:rPr>
      </w:pPr>
      <w:r>
        <w:rPr>
          <w:rFonts w:cs="Arial"/>
          <w:szCs w:val="20"/>
        </w:rPr>
        <w:t>compensatória de 10% (dez por cento) sobre o valor total do contrato, no caso de inexecução total do objeto;</w:t>
      </w:r>
    </w:p>
    <w:p>
      <w:pPr>
        <w:pStyle w:val="Normal"/>
        <w:numPr>
          <w:ilvl w:val="2"/>
          <w:numId w:val="6"/>
        </w:numPr>
        <w:spacing w:lineRule="auto" w:line="276" w:before="120" w:after="120"/>
        <w:jc w:val="both"/>
        <w:rPr>
          <w:rFonts w:cs="Arial"/>
          <w:szCs w:val="20"/>
        </w:rPr>
      </w:pPr>
      <w:r>
        <w:rPr>
          <w:rFonts w:cs="Arial"/>
          <w:b/>
          <w:bCs/>
          <w:szCs w:val="20"/>
        </w:rPr>
        <w:t>Suspensão de licitar e impedimento de contratar</w:t>
      </w:r>
      <w:r>
        <w:rPr>
          <w:rFonts w:cs="Arial"/>
          <w:szCs w:val="20"/>
        </w:rPr>
        <w:t xml:space="preserve"> com o órgão, entidade ou unidade administrativa pela qual a Administração Pública opera e atua concretamente, pelo prazo de até dois anos;</w:t>
      </w:r>
    </w:p>
    <w:p>
      <w:pPr>
        <w:pStyle w:val="ListParagraph"/>
        <w:numPr>
          <w:ilvl w:val="2"/>
          <w:numId w:val="6"/>
        </w:numPr>
        <w:jc w:val="both"/>
        <w:rPr>
          <w:rFonts w:cs="Arial"/>
          <w:szCs w:val="20"/>
        </w:rPr>
      </w:pPr>
      <w:r>
        <w:rPr>
          <w:rFonts w:cs="Arial"/>
          <w:b/>
          <w:bCs/>
          <w:szCs w:val="20"/>
        </w:rPr>
        <w:t>Sanção de impedimento de licitar e contratar com órgãos e entidades da União</w:t>
      </w:r>
      <w:r>
        <w:rPr>
          <w:rFonts w:cs="Arial"/>
          <w:szCs w:val="20"/>
        </w:rPr>
        <w:t>, com o consequente descredenciamento no SICAF pelo prazo de até cinco anos.</w:t>
      </w:r>
    </w:p>
    <w:p>
      <w:pPr>
        <w:pStyle w:val="Normal"/>
        <w:numPr>
          <w:ilvl w:val="2"/>
          <w:numId w:val="6"/>
        </w:numPr>
        <w:spacing w:lineRule="auto" w:line="276" w:before="120" w:after="120"/>
        <w:jc w:val="both"/>
        <w:rPr>
          <w:rFonts w:cs="Arial"/>
          <w:szCs w:val="20"/>
        </w:rPr>
      </w:pPr>
      <w:r>
        <w:rPr>
          <w:rFonts w:cs="Arial"/>
          <w:b/>
          <w:bCs/>
          <w:szCs w:val="20"/>
        </w:rPr>
        <w:t>Declaração de inidoneidade para licitar ou contratar</w:t>
      </w:r>
      <w:r>
        <w:rPr>
          <w:rFonts w:cs="Arial"/>
          <w:szCs w:val="20"/>
        </w:rPr>
        <w:t xml:space="preserve">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w:t>
      </w:r>
    </w:p>
    <w:p>
      <w:pPr>
        <w:pStyle w:val="Normal"/>
        <w:numPr>
          <w:ilvl w:val="1"/>
          <w:numId w:val="2"/>
        </w:numPr>
        <w:spacing w:lineRule="auto" w:line="276" w:before="120" w:after="120"/>
        <w:ind w:left="425" w:hanging="0"/>
        <w:jc w:val="both"/>
        <w:rPr>
          <w:rFonts w:cs="Arial"/>
          <w:szCs w:val="20"/>
        </w:rPr>
      </w:pPr>
      <w:r>
        <w:rPr>
          <w:rFonts w:cs="Arial"/>
          <w:szCs w:val="20"/>
        </w:rPr>
        <w:t xml:space="preserve"> </w:t>
      </w:r>
      <w:r>
        <w:rPr>
          <w:rFonts w:cs="Arial"/>
          <w:szCs w:val="20"/>
        </w:rPr>
        <w:t>A Sanção de impedimento de licitar e contratar prevista no subitem “iv” também é aplicável em quaisquer das hipóteses previstas como infração administrativa neste Termo de Referência.</w:t>
      </w:r>
    </w:p>
    <w:p>
      <w:pPr>
        <w:pStyle w:val="Normal"/>
        <w:numPr>
          <w:ilvl w:val="1"/>
          <w:numId w:val="2"/>
        </w:numPr>
        <w:spacing w:lineRule="auto" w:line="276" w:before="120" w:after="120"/>
        <w:ind w:left="425" w:hanging="0"/>
        <w:jc w:val="both"/>
        <w:rPr>
          <w:rFonts w:cs="Arial"/>
          <w:szCs w:val="20"/>
        </w:rPr>
      </w:pPr>
      <w:r>
        <w:rPr>
          <w:rFonts w:cs="Arial"/>
          <w:szCs w:val="20"/>
        </w:rPr>
        <w:t>As sanções previstas nos subitens “i”, “iii”, “iv” e “v” poderão ser aplicadas à CONTRATADA juntamente com as de multa, descontando-a dos pagamentos a serem efetuados.</w:t>
      </w:r>
      <w:bookmarkStart w:id="2" w:name="_Hlk78351618"/>
      <w:bookmarkEnd w:id="2"/>
    </w:p>
    <w:p>
      <w:pPr>
        <w:pStyle w:val="Normal"/>
        <w:spacing w:lineRule="auto" w:line="276" w:before="120" w:after="120"/>
        <w:ind w:left="425" w:hanging="0"/>
        <w:jc w:val="both"/>
        <w:rPr>
          <w:rFonts w:cs="Arial"/>
          <w:szCs w:val="20"/>
        </w:rPr>
      </w:pPr>
      <w:r>
        <w:rPr>
          <w:rFonts w:cs="Arial"/>
          <w:szCs w:val="20"/>
        </w:rPr>
        <w:t>Também ficam sujeitas às penalidades do art. 87, III e IV da Lei nº 8.666, de 1993, as empresas ou profissionais que:</w:t>
      </w:r>
    </w:p>
    <w:p>
      <w:pPr>
        <w:pStyle w:val="Normal"/>
        <w:spacing w:lineRule="auto" w:line="276" w:before="120" w:after="120"/>
        <w:ind w:left="1134" w:hanging="0"/>
        <w:jc w:val="both"/>
        <w:rPr>
          <w:rFonts w:cs="Arial"/>
          <w:szCs w:val="20"/>
        </w:rPr>
      </w:pPr>
      <w:r>
        <w:rPr>
          <w:rFonts w:cs="Arial"/>
          <w:szCs w:val="20"/>
        </w:rPr>
        <w:t>tenham sofrido condenação definitiva por praticar, por meio dolosos, fraude fiscal no recolhimento de quaisquer tributos;</w:t>
      </w:r>
    </w:p>
    <w:p>
      <w:pPr>
        <w:pStyle w:val="Normal"/>
        <w:spacing w:lineRule="auto" w:line="276" w:before="120" w:after="120"/>
        <w:ind w:left="1134" w:hanging="0"/>
        <w:jc w:val="both"/>
        <w:rPr>
          <w:rFonts w:cs="Arial"/>
          <w:szCs w:val="20"/>
        </w:rPr>
      </w:pPr>
      <w:r>
        <w:rPr>
          <w:rFonts w:cs="Arial"/>
          <w:szCs w:val="20"/>
        </w:rPr>
        <w:t>tenham praticado atos ilícitos visando a frustrar os objetivos da licitação;</w:t>
      </w:r>
    </w:p>
    <w:p>
      <w:pPr>
        <w:pStyle w:val="Normal"/>
        <w:spacing w:lineRule="auto" w:line="276" w:before="240" w:after="120"/>
        <w:ind w:left="1134" w:right="-17" w:hanging="283"/>
        <w:jc w:val="both"/>
        <w:rPr>
          <w:rFonts w:cs="Arial"/>
          <w:szCs w:val="20"/>
        </w:rPr>
      </w:pPr>
      <w:r>
        <w:rPr>
          <w:rFonts w:cs="Arial"/>
          <w:szCs w:val="20"/>
        </w:rPr>
        <w:t>demonstrem não possuir idoneidade para contratar com a Administração em virtude de atos ilícitos praticados.</w:t>
      </w:r>
    </w:p>
    <w:p>
      <w:pPr>
        <w:pStyle w:val="Normal"/>
        <w:spacing w:lineRule="auto" w:line="276" w:before="120" w:after="120"/>
        <w:ind w:left="425" w:hanging="0"/>
        <w:jc w:val="both"/>
        <w:rPr>
          <w:rFonts w:cs="Arial"/>
          <w:szCs w:val="20"/>
        </w:rPr>
      </w:pPr>
      <w:r>
        <w:rPr>
          <w:rFonts w:cs="Arial"/>
          <w:szCs w:val="20"/>
        </w:rPr>
        <w:t>A aplicação de qualquer das penalidades previstas realizar-se-á em processo administrativo que assegurará o contraditório e a ampla defesa à Contratada, observando-se o procedimento previsto na Lei nº 8.666, de 1993, e subsidiariamente a Lei nº 9.784, de 1999.</w:t>
      </w:r>
    </w:p>
    <w:p>
      <w:pPr>
        <w:pStyle w:val="Normal"/>
        <w:spacing w:lineRule="auto" w:line="276" w:before="120" w:after="120"/>
        <w:ind w:right="-30" w:hanging="0"/>
        <w:jc w:val="both"/>
        <w:rPr>
          <w:rFonts w:cs="Arial"/>
          <w:szCs w:val="20"/>
        </w:rPr>
      </w:pPr>
      <w:r>
        <w:rPr>
          <w:rFonts w:cs="Arial"/>
          <w:szCs w:val="20"/>
        </w:rPr>
        <w:t>As multas devidas e/ou prejuízos causados à Contratante serão deduzidos dos valores a serem pagos, ou recolhidos em favor da União, ou deduzidos da garantia, ou ainda, quando for o caso, serão inscritos na Dívida Ativa da União e cobrados judicialmente.</w:t>
      </w:r>
    </w:p>
    <w:p>
      <w:pPr>
        <w:pStyle w:val="Normal"/>
        <w:spacing w:lineRule="auto" w:line="276" w:before="120" w:after="120"/>
        <w:ind w:right="-30" w:hanging="0"/>
        <w:jc w:val="both"/>
        <w:rPr>
          <w:rFonts w:cs="Arial"/>
          <w:szCs w:val="20"/>
        </w:rPr>
      </w:pPr>
      <w:r>
        <w:rPr>
          <w:rFonts w:cs="Arial"/>
          <w:szCs w:val="20"/>
        </w:rPr>
        <w:t>Caso a Contratante determine, a multa deverá ser recolhida no prazo máximo de 30 (trinta) dias, a contar da data do recebimento da comunicação enviada pela autoridade competente.</w:t>
      </w:r>
    </w:p>
    <w:p>
      <w:pPr>
        <w:pStyle w:val="Normal"/>
        <w:spacing w:lineRule="auto" w:line="276" w:before="120" w:after="120"/>
        <w:ind w:right="-30" w:hanging="0"/>
        <w:jc w:val="both"/>
        <w:rPr>
          <w:rFonts w:cs="Arial"/>
          <w:szCs w:val="20"/>
        </w:rPr>
      </w:pPr>
      <w:r>
        <w:rPr>
          <w:rFonts w:cs="Arial"/>
          <w:szCs w:val="20"/>
        </w:rPr>
        <w:t>Caso o valor da multa não seja suficiente para cobrir os prejuízos causados pela conduta do licitante, a União ou Entidade poderá cobrar o valor remanescente judicialmente, conforme artigo 419 do Código Civil.</w:t>
      </w:r>
    </w:p>
    <w:p>
      <w:pPr>
        <w:pStyle w:val="Normal"/>
        <w:spacing w:lineRule="auto" w:line="276" w:before="120" w:after="120"/>
        <w:ind w:right="-30" w:hanging="0"/>
        <w:jc w:val="both"/>
        <w:rPr>
          <w:rFonts w:cs="Arial"/>
          <w:szCs w:val="20"/>
        </w:rPr>
      </w:pPr>
      <w:r>
        <w:rPr>
          <w:rFonts w:cs="Arial"/>
          <w:szCs w:val="20"/>
        </w:rPr>
        <w:t>A autoridade competente, na aplicação das sanções, levará em consideração a gravidade da conduta do infrator, o caráter educativo da pena, bem como o dano causado à Administração, observado o princípio da proporcionalidade.</w:t>
      </w:r>
    </w:p>
    <w:p>
      <w:pPr>
        <w:pStyle w:val="Nivel2"/>
        <w:rPr>
          <w:rFonts w:ascii="Arial" w:hAnsi="Arial" w:cs="Arial"/>
        </w:rPr>
      </w:pPr>
      <w:r>
        <w:rPr>
          <w:rFonts w:cs="Arial" w:ascii="Arial" w:hAnsi="Arial"/>
        </w:rPr>
        <w:t xml:space="preserve">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ivel2"/>
        <w:rPr>
          <w:rFonts w:ascii="Arial" w:hAnsi="Arial" w:cs="Arial"/>
        </w:rPr>
      </w:pPr>
      <w:r>
        <w:rPr>
          <w:rFonts w:cs="Arial" w:ascii="Arial" w:hAnsi="Arial"/>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ivel2"/>
        <w:rPr>
          <w:rFonts w:ascii="Arial" w:hAnsi="Arial" w:cs="Arial"/>
        </w:rPr>
      </w:pPr>
      <w:r>
        <w:rPr>
          <w:rFonts w:cs="Arial" w:ascii="Arial" w:hAnsi="Arial"/>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spacing w:lineRule="auto" w:line="276" w:before="120" w:after="120"/>
        <w:ind w:left="425" w:hanging="0"/>
        <w:jc w:val="both"/>
        <w:rPr>
          <w:rFonts w:cs="Arial"/>
          <w:szCs w:val="20"/>
        </w:rPr>
      </w:pPr>
      <w:r>
        <w:rPr>
          <w:rFonts w:cs="Arial"/>
          <w:szCs w:val="20"/>
        </w:rPr>
        <w:t>As penalidades serão obrigatoriamente registradas no SICAF.</w:t>
      </w:r>
    </w:p>
    <w:p>
      <w:pPr>
        <w:pStyle w:val="Nivel1"/>
        <w:numPr>
          <w:ilvl w:val="0"/>
          <w:numId w:val="1"/>
        </w:numPr>
        <w:rPr>
          <w:bCs/>
          <w:color w:val="00000A"/>
        </w:rPr>
      </w:pPr>
      <w:r>
        <w:rPr>
          <w:bCs/>
          <w:color w:val="00000A"/>
        </w:rPr>
        <w:t>CRITÉRIOS DE SELEÇÃO DO FORNECEDOR.</w:t>
      </w:r>
    </w:p>
    <w:p>
      <w:pPr>
        <w:pStyle w:val="Normal"/>
        <w:spacing w:lineRule="auto" w:line="276" w:before="120" w:after="120"/>
        <w:ind w:left="425" w:hanging="0"/>
        <w:jc w:val="both"/>
        <w:rPr>
          <w:rFonts w:cs="Arial"/>
          <w:szCs w:val="20"/>
        </w:rPr>
      </w:pPr>
      <w:r>
        <w:rPr>
          <w:rFonts w:cs="Arial"/>
          <w:szCs w:val="20"/>
        </w:rPr>
        <w:t>As exigências de habilitação jurídica e de regularidade fiscal e trabalhista são as usuais para a generalidade dos objetos, conforme disciplinado no edital.</w:t>
      </w:r>
    </w:p>
    <w:p>
      <w:pPr>
        <w:pStyle w:val="Normal"/>
        <w:spacing w:lineRule="auto" w:line="276" w:before="120" w:after="120"/>
        <w:ind w:left="425" w:hanging="0"/>
        <w:jc w:val="both"/>
        <w:rPr>
          <w:rFonts w:cs="Arial"/>
          <w:szCs w:val="20"/>
        </w:rPr>
      </w:pPr>
      <w:r>
        <w:rPr>
          <w:rFonts w:cs="Arial"/>
          <w:szCs w:val="20"/>
        </w:rPr>
        <w:t>Os critérios de qualificação econômico-financeira a serem atendidos pelo fornecedor estão previstos no edital.</w:t>
      </w:r>
    </w:p>
    <w:p>
      <w:pPr>
        <w:pStyle w:val="Normal"/>
        <w:spacing w:lineRule="auto" w:line="276" w:before="120" w:after="120"/>
        <w:ind w:left="425" w:hanging="0"/>
        <w:jc w:val="both"/>
        <w:rPr>
          <w:rFonts w:cs="Arial"/>
          <w:szCs w:val="20"/>
        </w:rPr>
      </w:pPr>
      <w:r>
        <w:rPr>
          <w:rFonts w:cs="Arial"/>
          <w:szCs w:val="20"/>
        </w:rPr>
        <w:t>Os critérios de qualificação técnica a serem atendidos pelo fornecedor serão:</w:t>
      </w:r>
    </w:p>
    <w:p>
      <w:pPr>
        <w:pStyle w:val="ListParagraph"/>
        <w:tabs>
          <w:tab w:val="left" w:pos="1440" w:leader="none"/>
        </w:tabs>
        <w:snapToGrid w:val="false"/>
        <w:spacing w:lineRule="auto" w:line="276" w:before="120" w:after="120"/>
        <w:ind w:left="1638" w:hanging="0"/>
        <w:contextualSpacing/>
        <w:jc w:val="both"/>
        <w:rPr>
          <w:rFonts w:cs="Arial"/>
          <w:szCs w:val="20"/>
        </w:rPr>
      </w:pPr>
      <w:r>
        <w:rPr>
          <w:rFonts w:cs="Arial"/>
          <w:szCs w:val="20"/>
        </w:rPr>
        <w:t>Comprovação de aptidão para o fornecimento de bens em características, quantidades e prazos compatíveis com o objeto desta licitação, ou com o item pertinente, por meio da apresentação de atestados fornecidos por pessoas jurídicas de direito público ou privado.</w:t>
      </w:r>
    </w:p>
    <w:p>
      <w:pPr>
        <w:pStyle w:val="ListParagraph"/>
        <w:tabs>
          <w:tab w:val="left" w:pos="1440" w:leader="none"/>
        </w:tabs>
        <w:snapToGrid w:val="false"/>
        <w:spacing w:lineRule="auto" w:line="276" w:before="120" w:after="120"/>
        <w:contextualSpacing/>
        <w:jc w:val="both"/>
        <w:rPr>
          <w:rFonts w:cs="Arial"/>
          <w:szCs w:val="20"/>
        </w:rPr>
      </w:pPr>
      <w:r>
        <w:rPr>
          <w:rFonts w:cs="Arial"/>
          <w:szCs w:val="20"/>
        </w:rPr>
        <w:t>Para fins da comprovação de que trata este subitem, os atestados deverão dizer respeito a contratos executados com as seguintes características mínimas:</w:t>
      </w:r>
    </w:p>
    <w:p>
      <w:pPr>
        <w:pStyle w:val="ListParagraph"/>
        <w:tabs>
          <w:tab w:val="left" w:pos="1440" w:leader="none"/>
        </w:tabs>
        <w:snapToGrid w:val="false"/>
        <w:spacing w:lineRule="auto" w:line="276" w:before="120" w:after="120"/>
        <w:ind w:left="3544" w:hanging="992"/>
        <w:contextualSpacing/>
        <w:jc w:val="both"/>
        <w:rPr>
          <w:rFonts w:cs="Arial"/>
          <w:szCs w:val="20"/>
        </w:rPr>
      </w:pPr>
      <w:r>
        <w:rPr>
          <w:rFonts w:cs="Arial"/>
          <w:szCs w:val="20"/>
        </w:rPr>
        <w:t xml:space="preserve">Atender as informações contidas no ANEXO IV – Modelo de Atestado de Qualificação. </w:t>
      </w:r>
    </w:p>
    <w:p>
      <w:pPr>
        <w:pStyle w:val="ListParagraph"/>
        <w:tabs>
          <w:tab w:val="left" w:pos="1440" w:leader="none"/>
        </w:tabs>
        <w:snapToGrid w:val="false"/>
        <w:spacing w:lineRule="auto" w:line="276" w:before="120" w:after="120"/>
        <w:ind w:left="720" w:hanging="42"/>
        <w:contextualSpacing/>
        <w:jc w:val="both"/>
        <w:rPr>
          <w:rFonts w:cs="Arial"/>
          <w:szCs w:val="20"/>
        </w:rPr>
      </w:pPr>
      <w:r>
        <w:rPr>
          <w:rFonts w:cs="Arial"/>
          <w:szCs w:val="20"/>
        </w:rPr>
        <w:t xml:space="preserve">Para fins da comprovação de que trata este subitem, os atestados deverão dizer </w:t>
      </w:r>
      <w:r>
        <w:rPr>
          <w:rFonts w:eastAsia="ＭＳ 明朝" w:cs="Arial" w:eastAsiaTheme="minorEastAsia"/>
          <w:bCs/>
          <w:szCs w:val="20"/>
        </w:rPr>
        <w:t xml:space="preserve">comprovação de aptidão para desempenho de atividade pertinente </w:t>
      </w:r>
      <w:r>
        <w:rPr>
          <w:rFonts w:eastAsia="ＭＳ 明朝" w:cs="Arial" w:eastAsiaTheme="minorEastAsia"/>
          <w:szCs w:val="20"/>
        </w:rPr>
        <w:t>e compatível em características, quantidades e prazos com o objeto da licitação</w:t>
      </w:r>
      <w:r>
        <w:rPr>
          <w:rFonts w:cs="Arial"/>
          <w:szCs w:val="20"/>
        </w:rPr>
        <w:t>, contratos executados com as seguintes características mínimas:</w:t>
      </w:r>
    </w:p>
    <w:p>
      <w:pPr>
        <w:pStyle w:val="ListParagraph"/>
        <w:tabs>
          <w:tab w:val="left" w:pos="1440" w:leader="none"/>
        </w:tabs>
        <w:snapToGrid w:val="false"/>
        <w:spacing w:lineRule="auto" w:line="276" w:before="120" w:after="120"/>
        <w:ind w:left="720" w:firstLine="21"/>
        <w:contextualSpacing/>
        <w:jc w:val="both"/>
        <w:rPr>
          <w:rFonts w:cs="Arial"/>
          <w:szCs w:val="20"/>
        </w:rPr>
      </w:pPr>
      <w:r>
        <w:rPr>
          <w:rFonts w:cs="Arial"/>
          <w:szCs w:val="20"/>
        </w:rPr>
        <w:t>Fornecimento de medicamentos</w:t>
      </w:r>
    </w:p>
    <w:p>
      <w:pPr>
        <w:pStyle w:val="Standard"/>
        <w:tabs>
          <w:tab w:val="left" w:pos="-4382" w:leader="none"/>
        </w:tabs>
        <w:spacing w:lineRule="auto" w:line="276" w:before="120" w:after="120"/>
        <w:ind w:left="284" w:hanging="0"/>
        <w:jc w:val="both"/>
        <w:textAlignment w:val="baseline"/>
        <w:rPr>
          <w:rFonts w:ascii="Arial" w:hAnsi="Arial" w:cs="Arial"/>
          <w:sz w:val="20"/>
          <w:szCs w:val="20"/>
          <w:lang w:eastAsia="en-US"/>
        </w:rPr>
      </w:pPr>
      <w:r>
        <w:rPr>
          <w:rFonts w:cs="Arial" w:ascii="Arial" w:hAnsi="Arial"/>
          <w:sz w:val="20"/>
          <w:szCs w:val="20"/>
          <w:lang w:eastAsia="en-US"/>
        </w:rPr>
        <w:t>Normas e Regulamentos:</w:t>
      </w:r>
    </w:p>
    <w:p>
      <w:pPr>
        <w:pStyle w:val="Standard"/>
        <w:tabs>
          <w:tab w:val="left" w:pos="-4382" w:leader="none"/>
        </w:tabs>
        <w:spacing w:lineRule="auto" w:line="276" w:before="120" w:after="120"/>
        <w:ind w:left="284" w:hanging="0"/>
        <w:jc w:val="both"/>
        <w:textAlignment w:val="baseline"/>
        <w:rPr>
          <w:rFonts w:ascii="Arial" w:hAnsi="Arial" w:cs="Arial"/>
          <w:sz w:val="20"/>
          <w:szCs w:val="20"/>
          <w:lang w:eastAsia="en-US"/>
        </w:rPr>
      </w:pPr>
      <w:r>
        <w:rPr>
          <w:rFonts w:cs="Arial" w:ascii="Arial" w:hAnsi="Arial"/>
          <w:sz w:val="20"/>
          <w:szCs w:val="20"/>
          <w:lang w:eastAsia="en-US"/>
        </w:rPr>
        <w:t>Atendimentos aos requisitos da Lei 5.991/1973 - Dispõe sobre o Controle Sanitário do Comércio de Drogas, Medicamentos, Insumos Farmacêuticos e Correlatos, e dá outras Providências.</w:t>
      </w:r>
    </w:p>
    <w:p>
      <w:pPr>
        <w:pStyle w:val="Standard"/>
        <w:tabs>
          <w:tab w:val="left" w:pos="-4382" w:leader="none"/>
        </w:tabs>
        <w:spacing w:lineRule="auto" w:line="276" w:before="120" w:after="120"/>
        <w:jc w:val="both"/>
        <w:textAlignment w:val="baseline"/>
        <w:rPr>
          <w:rFonts w:ascii="Arial" w:hAnsi="Arial" w:cs="Arial"/>
          <w:sz w:val="20"/>
          <w:szCs w:val="20"/>
          <w:lang w:eastAsia="en-US"/>
        </w:rPr>
      </w:pPr>
      <w:r>
        <w:rPr>
          <w:rFonts w:cs="Arial" w:ascii="Arial" w:hAnsi="Arial"/>
          <w:sz w:val="20"/>
          <w:szCs w:val="20"/>
          <w:lang w:eastAsia="en-US"/>
        </w:rPr>
        <w:t>Atendimento aos requisitos da Lei 6.360/1976 - Dispõe sobre a Vigilância Sanitária a que ficam sujeitos os Medicamentos, as Drogas, os Insumos Farmacêuticos e Correlatos, Cosméticos, Saneantes e Outros Produtos, e dá outras Providências.</w:t>
      </w:r>
    </w:p>
    <w:p>
      <w:pPr>
        <w:pStyle w:val="Standard"/>
        <w:tabs>
          <w:tab w:val="left" w:pos="-4382" w:leader="none"/>
        </w:tabs>
        <w:spacing w:lineRule="auto" w:line="276" w:before="120" w:after="120"/>
        <w:jc w:val="both"/>
        <w:textAlignment w:val="baseline"/>
        <w:rPr>
          <w:rFonts w:ascii="Arial" w:hAnsi="Arial" w:cs="Arial"/>
          <w:sz w:val="20"/>
          <w:szCs w:val="20"/>
          <w:lang w:eastAsia="en-US"/>
        </w:rPr>
      </w:pPr>
      <w:r>
        <w:rPr>
          <w:rFonts w:cs="Arial" w:ascii="Arial" w:hAnsi="Arial"/>
          <w:sz w:val="20"/>
          <w:szCs w:val="20"/>
          <w:lang w:eastAsia="en-US"/>
        </w:rPr>
        <w:t>Os licitantes deverão apresentar os seguintes documentos a serem analisados na fase de Habilitação:</w:t>
      </w:r>
    </w:p>
    <w:p>
      <w:pPr>
        <w:pStyle w:val="Standard"/>
        <w:tabs>
          <w:tab w:val="left" w:pos="-4382" w:leader="none"/>
        </w:tabs>
        <w:spacing w:lineRule="auto" w:line="276" w:before="120" w:after="120"/>
        <w:rPr>
          <w:rFonts w:ascii="Arial" w:hAnsi="Arial" w:cs="Arial"/>
          <w:sz w:val="20"/>
          <w:szCs w:val="20"/>
        </w:rPr>
      </w:pPr>
      <w:r>
        <w:rPr>
          <w:rFonts w:cs="Arial" w:ascii="Arial" w:hAnsi="Arial"/>
          <w:sz w:val="20"/>
          <w:szCs w:val="20"/>
        </w:rPr>
        <w:t>Apresentar Registro dos medicamentos emitido pela Agência Nacional de Vigilância Sanitária (Anvisa);</w:t>
      </w:r>
    </w:p>
    <w:p>
      <w:pPr>
        <w:pStyle w:val="Standard"/>
        <w:tabs>
          <w:tab w:val="left" w:pos="-4382" w:leader="none"/>
        </w:tabs>
        <w:spacing w:lineRule="auto" w:line="276" w:before="120" w:after="120"/>
        <w:rPr>
          <w:rFonts w:ascii="Arial" w:hAnsi="Arial" w:cs="Arial"/>
          <w:sz w:val="20"/>
          <w:szCs w:val="20"/>
        </w:rPr>
      </w:pPr>
      <w:r>
        <w:rPr>
          <w:rFonts w:cs="Arial" w:ascii="Arial" w:hAnsi="Arial"/>
          <w:sz w:val="20"/>
          <w:szCs w:val="20"/>
        </w:rPr>
        <w:t xml:space="preserve"> </w:t>
      </w:r>
      <w:r>
        <w:rPr>
          <w:rFonts w:cs="Arial" w:ascii="Arial" w:hAnsi="Arial"/>
          <w:sz w:val="20"/>
          <w:szCs w:val="20"/>
        </w:rPr>
        <w:t>Autorização de funcionamento válida emitida pela Agência Nacional de Vigilância Sanitária (Anvisa);</w:t>
      </w:r>
    </w:p>
    <w:p>
      <w:pPr>
        <w:pStyle w:val="Standard"/>
        <w:tabs>
          <w:tab w:val="left" w:pos="-4382" w:leader="none"/>
        </w:tabs>
        <w:spacing w:before="120" w:after="0"/>
        <w:textAlignment w:val="baseline"/>
        <w:rPr>
          <w:rFonts w:ascii="Arial" w:hAnsi="Arial" w:cs="Arial"/>
          <w:sz w:val="20"/>
          <w:szCs w:val="20"/>
          <w:lang w:eastAsia="en-US"/>
        </w:rPr>
      </w:pPr>
      <w:r>
        <w:rPr>
          <w:rFonts w:cs="Arial" w:ascii="Arial" w:hAnsi="Arial"/>
          <w:sz w:val="20"/>
          <w:szCs w:val="20"/>
          <w:lang w:eastAsia="en-US"/>
        </w:rPr>
        <w:t>Licença sanitária em vigor emitida pela vigilância sanitária local; e</w:t>
      </w:r>
    </w:p>
    <w:p>
      <w:pPr>
        <w:pStyle w:val="Standard"/>
        <w:tabs>
          <w:tab w:val="left" w:pos="-4382" w:leader="none"/>
        </w:tabs>
        <w:spacing w:lineRule="auto" w:line="276" w:before="120" w:after="120"/>
        <w:jc w:val="both"/>
        <w:textAlignment w:val="baseline"/>
        <w:rPr>
          <w:rFonts w:ascii="Arial" w:hAnsi="Arial" w:cs="Arial"/>
          <w:sz w:val="20"/>
          <w:szCs w:val="20"/>
          <w:lang w:eastAsia="en-US"/>
        </w:rPr>
      </w:pPr>
      <w:r>
        <w:rPr>
          <w:rFonts w:cs="Arial" w:ascii="Arial" w:hAnsi="Arial"/>
          <w:sz w:val="20"/>
          <w:szCs w:val="20"/>
        </w:rPr>
        <w:t>Inscrição da empresa no Conselho Regional de Farmácia;</w:t>
      </w:r>
    </w:p>
    <w:p>
      <w:pPr>
        <w:pStyle w:val="Standard"/>
        <w:tabs>
          <w:tab w:val="left" w:pos="-4382" w:leader="none"/>
        </w:tabs>
        <w:spacing w:lineRule="auto" w:line="276" w:before="120" w:after="120"/>
        <w:jc w:val="both"/>
        <w:textAlignment w:val="baseline"/>
        <w:rPr>
          <w:rFonts w:ascii="Arial" w:hAnsi="Arial" w:cs="Arial"/>
          <w:sz w:val="20"/>
          <w:szCs w:val="20"/>
          <w:lang w:eastAsia="en-US"/>
        </w:rPr>
      </w:pPr>
      <w:r>
        <w:rPr>
          <w:rFonts w:cs="Arial" w:ascii="Arial" w:hAnsi="Arial"/>
          <w:sz w:val="20"/>
          <w:szCs w:val="20"/>
        </w:rPr>
        <w:t xml:space="preserve"> </w:t>
      </w:r>
      <w:r>
        <w:rPr>
          <w:rFonts w:cs="Arial" w:ascii="Arial" w:hAnsi="Arial"/>
          <w:sz w:val="20"/>
          <w:szCs w:val="20"/>
        </w:rPr>
        <w:t>Os licitantes deverão cumprir todas as RDC (Resolução da Diretoria Colegiada) da Anvisa (Agência Nacional de Vigilância Sanitária), a que o produto esteja submetido. Poderá ser causa de desclassificação a constatação de descumprimento de alguma RDC.</w:t>
      </w:r>
    </w:p>
    <w:p>
      <w:pPr>
        <w:pStyle w:val="Standard"/>
        <w:tabs>
          <w:tab w:val="left" w:pos="-4382" w:leader="none"/>
        </w:tabs>
        <w:spacing w:before="120" w:after="0"/>
        <w:textAlignment w:val="baseline"/>
        <w:rPr>
          <w:rFonts w:ascii="Arial" w:hAnsi="Arial" w:cs="Arial"/>
          <w:sz w:val="20"/>
          <w:szCs w:val="20"/>
          <w:lang w:eastAsia="en-US"/>
        </w:rPr>
      </w:pPr>
      <w:r>
        <w:rPr>
          <w:rFonts w:cs="Arial" w:ascii="Arial" w:hAnsi="Arial"/>
          <w:sz w:val="20"/>
          <w:szCs w:val="20"/>
          <w:lang w:eastAsia="en-US"/>
        </w:rPr>
        <w:t>RESOLUÇÃO DA DIRETORIA COLEGIADA - RDC Nº 430, DE 8 DE OUTUBRO DE 2020</w:t>
      </w:r>
    </w:p>
    <w:p>
      <w:pPr>
        <w:pStyle w:val="Standard"/>
        <w:tabs>
          <w:tab w:val="left" w:pos="-4382" w:leader="none"/>
        </w:tabs>
        <w:spacing w:before="120" w:after="0"/>
        <w:ind w:hanging="105"/>
        <w:textAlignment w:val="baseline"/>
        <w:rPr>
          <w:rFonts w:ascii="Arial" w:hAnsi="Arial" w:cs="Arial"/>
          <w:sz w:val="20"/>
          <w:szCs w:val="20"/>
          <w:lang w:eastAsia="en-US"/>
        </w:rPr>
      </w:pPr>
      <w:r>
        <w:rPr>
          <w:rFonts w:cs="Arial" w:ascii="Arial" w:hAnsi="Arial"/>
          <w:sz w:val="20"/>
          <w:szCs w:val="20"/>
          <w:lang w:eastAsia="en-US"/>
        </w:rPr>
        <w:t>art. 60. as notas fiscais emitidas devem conter os números de lote e dados da origem dos medicamentos transacionados, quando for o caso.</w:t>
      </w:r>
    </w:p>
    <w:p>
      <w:pPr>
        <w:pStyle w:val="Standard"/>
        <w:tabs>
          <w:tab w:val="left" w:pos="-4382" w:leader="none"/>
        </w:tabs>
        <w:spacing w:lineRule="auto" w:line="276" w:before="120" w:after="120"/>
        <w:jc w:val="both"/>
        <w:textAlignment w:val="baseline"/>
        <w:rPr>
          <w:rFonts w:ascii="Arial" w:hAnsi="Arial" w:cs="Arial"/>
          <w:sz w:val="20"/>
          <w:szCs w:val="20"/>
          <w:lang w:eastAsia="en-US"/>
        </w:rPr>
      </w:pPr>
      <w:r>
        <w:rPr>
          <w:rFonts w:cs="Arial" w:ascii="Arial" w:hAnsi="Arial"/>
          <w:sz w:val="20"/>
          <w:szCs w:val="20"/>
        </w:rPr>
        <w:t>Os licitantes deverão observar e demostrar em suas propostas, obrigatoriamente, as disposições constantes no Convênio ICMS 162/94 e suas atualizações e regulamentações locais, quando cabível, notadamente a isenção do recolhimento do ICMS aos órgãos da Administração Pública, conforme Acórdão 1.025/2015-TCU-Plenário.</w:t>
      </w:r>
    </w:p>
    <w:p>
      <w:pPr>
        <w:pStyle w:val="Normal"/>
        <w:spacing w:lineRule="auto" w:line="276" w:before="120" w:after="120"/>
        <w:ind w:right="-30" w:hanging="0"/>
        <w:jc w:val="both"/>
        <w:rPr>
          <w:rFonts w:cs="Arial"/>
          <w:vanish/>
          <w:szCs w:val="20"/>
        </w:rPr>
      </w:pPr>
      <w:r>
        <w:rPr>
          <w:rFonts w:cs="Arial"/>
          <w:vanish/>
          <w:szCs w:val="20"/>
        </w:rPr>
      </w:r>
    </w:p>
    <w:p>
      <w:pPr>
        <w:pStyle w:val="Normal"/>
        <w:numPr>
          <w:ilvl w:val="1"/>
          <w:numId w:val="3"/>
        </w:numPr>
        <w:spacing w:lineRule="auto" w:line="276" w:before="120" w:after="120"/>
        <w:jc w:val="both"/>
        <w:rPr>
          <w:rFonts w:cs="Arial"/>
          <w:szCs w:val="20"/>
        </w:rPr>
      </w:pPr>
      <w:r>
        <w:rPr>
          <w:rFonts w:cs="Arial"/>
          <w:szCs w:val="20"/>
        </w:rPr>
        <w:t xml:space="preserve">Os critérios de aceitabilidade de preços serão: </w:t>
      </w:r>
    </w:p>
    <w:p>
      <w:pPr>
        <w:pStyle w:val="Normal"/>
        <w:spacing w:lineRule="auto" w:line="276" w:before="120" w:after="120"/>
        <w:ind w:left="1922" w:hanging="0"/>
        <w:jc w:val="both"/>
        <w:rPr>
          <w:rFonts w:cs="Arial"/>
          <w:szCs w:val="20"/>
        </w:rPr>
      </w:pPr>
      <w:r>
        <w:rPr>
          <w:rFonts w:cs="Arial"/>
          <w:szCs w:val="20"/>
        </w:rPr>
        <w:t>Valores unitários: conforme planilha de composição de preços anexa ao edital.</w:t>
      </w:r>
    </w:p>
    <w:p>
      <w:pPr>
        <w:pStyle w:val="Normal"/>
        <w:spacing w:lineRule="auto" w:line="276" w:before="120" w:after="120"/>
        <w:ind w:left="425" w:hanging="0"/>
        <w:jc w:val="both"/>
        <w:rPr>
          <w:rFonts w:cs="Arial"/>
          <w:szCs w:val="20"/>
        </w:rPr>
      </w:pPr>
      <w:r>
        <w:rPr>
          <w:rFonts w:cs="Arial"/>
          <w:szCs w:val="20"/>
        </w:rPr>
        <w:t xml:space="preserve">O critério de julgamento da proposta é o menor preço </w:t>
      </w:r>
      <w:r>
        <w:rPr>
          <w:rFonts w:cs="Arial"/>
          <w:strike/>
          <w:szCs w:val="20"/>
        </w:rPr>
        <w:t>global</w:t>
      </w:r>
      <w:r>
        <w:rPr>
          <w:rFonts w:cs="Arial"/>
          <w:szCs w:val="20"/>
        </w:rPr>
        <w:t>. ALTERADO</w:t>
      </w:r>
    </w:p>
    <w:p>
      <w:pPr>
        <w:pStyle w:val="Normal"/>
        <w:spacing w:lineRule="auto" w:line="276" w:before="120" w:after="120"/>
        <w:ind w:left="432" w:right="-17" w:hanging="0"/>
        <w:jc w:val="both"/>
        <w:rPr>
          <w:rFonts w:cs="Arial"/>
          <w:b/>
          <w:b/>
          <w:szCs w:val="20"/>
          <w:lang w:val="x-none"/>
        </w:rPr>
      </w:pPr>
      <w:r>
        <w:rPr>
          <w:rFonts w:cs="Arial"/>
          <w:szCs w:val="20"/>
        </w:rPr>
        <w:t>As regras de desempate entre propostas são as discriminadas no edital.</w:t>
      </w:r>
    </w:p>
    <w:p>
      <w:pPr>
        <w:pStyle w:val="Nivel1"/>
        <w:numPr>
          <w:ilvl w:val="0"/>
          <w:numId w:val="1"/>
        </w:numPr>
        <w:spacing w:before="120" w:after="120"/>
        <w:ind w:right="-30" w:hanging="0"/>
        <w:rPr>
          <w:b w:val="false"/>
          <w:b w:val="false"/>
          <w:bCs/>
          <w:color w:val="00000A"/>
        </w:rPr>
      </w:pPr>
      <w:r>
        <w:rPr>
          <w:bCs/>
          <w:color w:val="00000A"/>
        </w:rPr>
        <w:t xml:space="preserve">ESTIMATIVA DE </w:t>
      </w:r>
      <w:r>
        <w:rPr>
          <w:color w:val="00000A"/>
        </w:rPr>
        <w:t>PREÇOS</w:t>
      </w:r>
      <w:r>
        <w:rPr>
          <w:bCs/>
          <w:color w:val="00000A"/>
        </w:rPr>
        <w:t xml:space="preserve"> E PREÇOS REFERENCIAIS.</w:t>
      </w:r>
    </w:p>
    <w:p>
      <w:pPr>
        <w:pStyle w:val="Normal"/>
        <w:numPr>
          <w:ilvl w:val="1"/>
          <w:numId w:val="4"/>
        </w:numPr>
        <w:spacing w:lineRule="auto" w:line="276" w:before="120" w:after="120"/>
        <w:jc w:val="both"/>
        <w:rPr>
          <w:rFonts w:cs="Arial"/>
          <w:szCs w:val="20"/>
        </w:rPr>
      </w:pPr>
      <w:r>
        <w:rPr>
          <w:rFonts w:cs="Arial"/>
          <w:szCs w:val="20"/>
        </w:rPr>
        <w:t>O custo estimado da contratação é de R$ 764.821,08.</w:t>
      </w:r>
    </w:p>
    <w:p>
      <w:pPr>
        <w:pStyle w:val="Normal"/>
        <w:rPr>
          <w:rFonts w:cs="Arial"/>
          <w:szCs w:val="20"/>
        </w:rPr>
      </w:pPr>
      <w:r>
        <w:rPr>
          <w:rFonts w:cs="Arial"/>
          <w:szCs w:val="20"/>
        </w:rPr>
      </w:r>
    </w:p>
    <w:p>
      <w:pPr>
        <w:pStyle w:val="Ttulo11"/>
        <w:spacing w:before="90" w:after="0"/>
        <w:ind w:left="1550" w:right="1209" w:hanging="711"/>
        <w:jc w:val="center"/>
        <w:rPr>
          <w:rFonts w:ascii="Arial" w:hAnsi="Arial" w:cs="Arial"/>
          <w:sz w:val="20"/>
          <w:szCs w:val="20"/>
        </w:rPr>
      </w:pPr>
      <w:r>
        <w:rPr>
          <w:rFonts w:cs="Arial" w:ascii="Arial" w:hAnsi="Arial"/>
          <w:spacing w:val="-2"/>
          <w:sz w:val="20"/>
          <w:szCs w:val="20"/>
        </w:rPr>
        <w:t>DESPACHO</w:t>
      </w:r>
      <w:r>
        <w:rPr>
          <w:rFonts w:cs="Arial" w:ascii="Arial" w:hAnsi="Arial"/>
          <w:spacing w:val="3"/>
          <w:sz w:val="20"/>
          <w:szCs w:val="20"/>
        </w:rPr>
        <w:t xml:space="preserve"> </w:t>
      </w:r>
      <w:r>
        <w:rPr>
          <w:rFonts w:cs="Arial" w:ascii="Arial" w:hAnsi="Arial"/>
          <w:sz w:val="20"/>
          <w:szCs w:val="20"/>
        </w:rPr>
        <w:t>DO CHEFE DA DIVISÃO ADMINISTRATIVA EXTERNA</w:t>
      </w:r>
    </w:p>
    <w:p>
      <w:pPr>
        <w:pStyle w:val="Corpodetexto"/>
        <w:jc w:val="left"/>
        <w:rPr>
          <w:rFonts w:ascii="Arial" w:hAnsi="Arial" w:cs="Arial"/>
          <w:b/>
          <w:b/>
          <w:sz w:val="20"/>
          <w:szCs w:val="20"/>
        </w:rPr>
      </w:pPr>
      <w:r>
        <w:rPr>
          <w:rFonts w:cs="Arial" w:ascii="Arial" w:hAnsi="Arial"/>
          <w:b/>
          <w:sz w:val="20"/>
          <w:szCs w:val="20"/>
        </w:rPr>
      </w:r>
    </w:p>
    <w:p>
      <w:pPr>
        <w:pStyle w:val="Corpodetexto"/>
        <w:spacing w:lineRule="auto" w:line="276"/>
        <w:ind w:left="273" w:firstLine="566"/>
        <w:jc w:val="left"/>
        <w:rPr>
          <w:rFonts w:ascii="Arial" w:hAnsi="Arial" w:cs="Arial"/>
          <w:sz w:val="20"/>
          <w:szCs w:val="20"/>
        </w:rPr>
      </w:pPr>
      <w:r>
        <w:rPr>
          <w:rFonts w:cs="Arial" w:ascii="Arial" w:hAnsi="Arial"/>
          <w:sz w:val="20"/>
          <w:szCs w:val="20"/>
        </w:rPr>
        <w:t>Este</w:t>
      </w:r>
      <w:r>
        <w:rPr>
          <w:rFonts w:cs="Arial" w:ascii="Arial" w:hAnsi="Arial"/>
          <w:spacing w:val="22"/>
          <w:sz w:val="20"/>
          <w:szCs w:val="20"/>
        </w:rPr>
        <w:t xml:space="preserve"> </w:t>
      </w:r>
      <w:r>
        <w:rPr>
          <w:rFonts w:cs="Arial" w:ascii="Arial" w:hAnsi="Arial"/>
          <w:sz w:val="20"/>
          <w:szCs w:val="20"/>
        </w:rPr>
        <w:t>documento</w:t>
      </w:r>
      <w:r>
        <w:rPr>
          <w:rFonts w:cs="Arial" w:ascii="Arial" w:hAnsi="Arial"/>
          <w:spacing w:val="28"/>
          <w:sz w:val="20"/>
          <w:szCs w:val="20"/>
        </w:rPr>
        <w:t xml:space="preserve"> </w:t>
      </w:r>
      <w:r>
        <w:rPr>
          <w:rFonts w:cs="Arial" w:ascii="Arial" w:hAnsi="Arial"/>
          <w:sz w:val="20"/>
          <w:szCs w:val="20"/>
        </w:rPr>
        <w:t>foi</w:t>
      </w:r>
      <w:r>
        <w:rPr>
          <w:rFonts w:cs="Arial" w:ascii="Arial" w:hAnsi="Arial"/>
          <w:spacing w:val="19"/>
          <w:sz w:val="20"/>
          <w:szCs w:val="20"/>
        </w:rPr>
        <w:t xml:space="preserve"> </w:t>
      </w:r>
      <w:r>
        <w:rPr>
          <w:rFonts w:cs="Arial" w:ascii="Arial" w:hAnsi="Arial"/>
          <w:sz w:val="20"/>
          <w:szCs w:val="20"/>
        </w:rPr>
        <w:t>confeccionado</w:t>
      </w:r>
      <w:r>
        <w:rPr>
          <w:rFonts w:cs="Arial" w:ascii="Arial" w:hAnsi="Arial"/>
          <w:spacing w:val="32"/>
          <w:sz w:val="20"/>
          <w:szCs w:val="20"/>
        </w:rPr>
        <w:t xml:space="preserve"> </w:t>
      </w:r>
      <w:r>
        <w:rPr>
          <w:rFonts w:cs="Arial" w:ascii="Arial" w:hAnsi="Arial"/>
          <w:sz w:val="20"/>
          <w:szCs w:val="20"/>
        </w:rPr>
        <w:t>em</w:t>
      </w:r>
      <w:r>
        <w:rPr>
          <w:rFonts w:cs="Arial" w:ascii="Arial" w:hAnsi="Arial"/>
          <w:spacing w:val="19"/>
          <w:sz w:val="20"/>
          <w:szCs w:val="20"/>
        </w:rPr>
        <w:t xml:space="preserve"> </w:t>
      </w:r>
      <w:r>
        <w:rPr>
          <w:rFonts w:cs="Arial" w:ascii="Arial" w:hAnsi="Arial"/>
          <w:sz w:val="20"/>
          <w:szCs w:val="20"/>
        </w:rPr>
        <w:t>conformidade</w:t>
      </w:r>
      <w:r>
        <w:rPr>
          <w:rFonts w:cs="Arial" w:ascii="Arial" w:hAnsi="Arial"/>
          <w:spacing w:val="28"/>
          <w:sz w:val="20"/>
          <w:szCs w:val="20"/>
        </w:rPr>
        <w:t xml:space="preserve"> </w:t>
      </w:r>
      <w:r>
        <w:rPr>
          <w:rFonts w:cs="Arial" w:ascii="Arial" w:hAnsi="Arial"/>
          <w:sz w:val="20"/>
          <w:szCs w:val="20"/>
        </w:rPr>
        <w:t>com</w:t>
      </w:r>
      <w:r>
        <w:rPr>
          <w:rFonts w:cs="Arial" w:ascii="Arial" w:hAnsi="Arial"/>
          <w:spacing w:val="19"/>
          <w:sz w:val="20"/>
          <w:szCs w:val="20"/>
        </w:rPr>
        <w:t xml:space="preserve"> </w:t>
      </w:r>
      <w:r>
        <w:rPr>
          <w:rFonts w:cs="Arial" w:ascii="Arial" w:hAnsi="Arial"/>
          <w:sz w:val="20"/>
          <w:szCs w:val="20"/>
        </w:rPr>
        <w:t>a</w:t>
      </w:r>
      <w:r>
        <w:rPr>
          <w:rFonts w:cs="Arial" w:ascii="Arial" w:hAnsi="Arial"/>
          <w:spacing w:val="27"/>
          <w:sz w:val="20"/>
          <w:szCs w:val="20"/>
        </w:rPr>
        <w:t xml:space="preserve"> </w:t>
      </w:r>
      <w:r>
        <w:rPr>
          <w:rFonts w:cs="Arial" w:ascii="Arial" w:hAnsi="Arial"/>
          <w:sz w:val="20"/>
          <w:szCs w:val="20"/>
        </w:rPr>
        <w:t>Lei</w:t>
      </w:r>
      <w:r>
        <w:rPr>
          <w:rFonts w:cs="Arial" w:ascii="Arial" w:hAnsi="Arial"/>
          <w:spacing w:val="19"/>
          <w:sz w:val="20"/>
          <w:szCs w:val="20"/>
        </w:rPr>
        <w:t xml:space="preserve"> </w:t>
      </w:r>
      <w:r>
        <w:rPr>
          <w:rFonts w:cs="Arial" w:ascii="Arial" w:hAnsi="Arial"/>
          <w:sz w:val="20"/>
          <w:szCs w:val="20"/>
        </w:rPr>
        <w:t>nº</w:t>
      </w:r>
      <w:r>
        <w:rPr>
          <w:rFonts w:cs="Arial" w:ascii="Arial" w:hAnsi="Arial"/>
          <w:spacing w:val="31"/>
          <w:sz w:val="20"/>
          <w:szCs w:val="20"/>
        </w:rPr>
        <w:t xml:space="preserve"> </w:t>
      </w:r>
      <w:r>
        <w:rPr>
          <w:rFonts w:cs="Arial" w:ascii="Arial" w:hAnsi="Arial"/>
          <w:sz w:val="20"/>
          <w:szCs w:val="20"/>
        </w:rPr>
        <w:t>8.666,</w:t>
      </w:r>
      <w:r>
        <w:rPr>
          <w:rFonts w:cs="Arial" w:ascii="Arial" w:hAnsi="Arial"/>
          <w:spacing w:val="30"/>
          <w:sz w:val="20"/>
          <w:szCs w:val="20"/>
        </w:rPr>
        <w:t xml:space="preserve"> </w:t>
      </w:r>
      <w:r>
        <w:rPr>
          <w:rFonts w:cs="Arial" w:ascii="Arial" w:hAnsi="Arial"/>
          <w:sz w:val="20"/>
          <w:szCs w:val="20"/>
        </w:rPr>
        <w:t>de</w:t>
      </w:r>
      <w:r>
        <w:rPr>
          <w:rFonts w:cs="Arial" w:ascii="Arial" w:hAnsi="Arial"/>
          <w:spacing w:val="23"/>
          <w:sz w:val="20"/>
          <w:szCs w:val="20"/>
        </w:rPr>
        <w:t xml:space="preserve"> </w:t>
      </w:r>
      <w:r>
        <w:rPr>
          <w:rFonts w:cs="Arial" w:ascii="Arial" w:hAnsi="Arial"/>
          <w:sz w:val="20"/>
          <w:szCs w:val="20"/>
        </w:rPr>
        <w:t>21</w:t>
      </w:r>
      <w:r>
        <w:rPr>
          <w:rFonts w:cs="Arial" w:ascii="Arial" w:hAnsi="Arial"/>
          <w:spacing w:val="24"/>
          <w:sz w:val="20"/>
          <w:szCs w:val="20"/>
        </w:rPr>
        <w:t xml:space="preserve"> </w:t>
      </w:r>
      <w:r>
        <w:rPr>
          <w:rFonts w:cs="Arial" w:ascii="Arial" w:hAnsi="Arial"/>
          <w:sz w:val="20"/>
          <w:szCs w:val="20"/>
        </w:rPr>
        <w:t>JUN</w:t>
      </w:r>
      <w:r>
        <w:rPr>
          <w:rFonts w:cs="Arial" w:ascii="Arial" w:hAnsi="Arial"/>
          <w:spacing w:val="27"/>
          <w:sz w:val="20"/>
          <w:szCs w:val="20"/>
        </w:rPr>
        <w:t xml:space="preserve"> </w:t>
      </w:r>
      <w:r>
        <w:rPr>
          <w:rFonts w:cs="Arial" w:ascii="Arial" w:hAnsi="Arial"/>
          <w:sz w:val="20"/>
          <w:szCs w:val="20"/>
        </w:rPr>
        <w:t>1993,</w:t>
      </w:r>
      <w:r>
        <w:rPr>
          <w:rFonts w:cs="Arial" w:ascii="Arial" w:hAnsi="Arial"/>
          <w:spacing w:val="-57"/>
          <w:sz w:val="20"/>
          <w:szCs w:val="20"/>
        </w:rPr>
        <w:t xml:space="preserve"> </w:t>
      </w:r>
      <w:r>
        <w:rPr>
          <w:rFonts w:cs="Arial" w:ascii="Arial" w:hAnsi="Arial"/>
          <w:sz w:val="20"/>
          <w:szCs w:val="20"/>
        </w:rPr>
        <w:t>Instrução</w:t>
      </w:r>
      <w:r>
        <w:rPr>
          <w:rFonts w:cs="Arial" w:ascii="Arial" w:hAnsi="Arial"/>
          <w:spacing w:val="4"/>
          <w:sz w:val="20"/>
          <w:szCs w:val="20"/>
        </w:rPr>
        <w:t xml:space="preserve"> </w:t>
      </w:r>
      <w:r>
        <w:rPr>
          <w:rFonts w:cs="Arial" w:ascii="Arial" w:hAnsi="Arial"/>
          <w:sz w:val="20"/>
          <w:szCs w:val="20"/>
        </w:rPr>
        <w:t>Normativa</w:t>
      </w:r>
      <w:r>
        <w:rPr>
          <w:rFonts w:cs="Arial" w:ascii="Arial" w:hAnsi="Arial"/>
          <w:spacing w:val="4"/>
          <w:sz w:val="20"/>
          <w:szCs w:val="20"/>
        </w:rPr>
        <w:t xml:space="preserve"> </w:t>
      </w:r>
      <w:r>
        <w:rPr>
          <w:rFonts w:cs="Arial" w:ascii="Arial" w:hAnsi="Arial"/>
          <w:sz w:val="20"/>
          <w:szCs w:val="20"/>
        </w:rPr>
        <w:t>nº</w:t>
      </w:r>
      <w:r>
        <w:rPr>
          <w:rFonts w:cs="Arial" w:ascii="Arial" w:hAnsi="Arial"/>
          <w:spacing w:val="2"/>
          <w:sz w:val="20"/>
          <w:szCs w:val="20"/>
        </w:rPr>
        <w:t xml:space="preserve"> </w:t>
      </w:r>
      <w:r>
        <w:rPr>
          <w:rFonts w:cs="Arial" w:ascii="Arial" w:hAnsi="Arial"/>
          <w:sz w:val="20"/>
          <w:szCs w:val="20"/>
        </w:rPr>
        <w:t>73,</w:t>
      </w:r>
      <w:r>
        <w:rPr>
          <w:rFonts w:cs="Arial" w:ascii="Arial" w:hAnsi="Arial"/>
          <w:spacing w:val="3"/>
          <w:sz w:val="20"/>
          <w:szCs w:val="20"/>
        </w:rPr>
        <w:t xml:space="preserve"> </w:t>
      </w:r>
      <w:r>
        <w:rPr>
          <w:rFonts w:cs="Arial" w:ascii="Arial" w:hAnsi="Arial"/>
          <w:sz w:val="20"/>
          <w:szCs w:val="20"/>
        </w:rPr>
        <w:t>de</w:t>
      </w:r>
      <w:r>
        <w:rPr>
          <w:rFonts w:cs="Arial" w:ascii="Arial" w:hAnsi="Arial"/>
          <w:spacing w:val="-6"/>
          <w:sz w:val="20"/>
          <w:szCs w:val="20"/>
        </w:rPr>
        <w:t xml:space="preserve"> </w:t>
      </w:r>
      <w:r>
        <w:rPr>
          <w:rFonts w:cs="Arial" w:ascii="Arial" w:hAnsi="Arial"/>
          <w:sz w:val="20"/>
          <w:szCs w:val="20"/>
        </w:rPr>
        <w:t>5</w:t>
      </w:r>
      <w:r>
        <w:rPr>
          <w:rFonts w:cs="Arial" w:ascii="Arial" w:hAnsi="Arial"/>
          <w:spacing w:val="1"/>
          <w:sz w:val="20"/>
          <w:szCs w:val="20"/>
        </w:rPr>
        <w:t xml:space="preserve"> </w:t>
      </w:r>
      <w:r>
        <w:rPr>
          <w:rFonts w:cs="Arial" w:ascii="Arial" w:hAnsi="Arial"/>
          <w:sz w:val="20"/>
          <w:szCs w:val="20"/>
        </w:rPr>
        <w:t>de</w:t>
      </w:r>
      <w:r>
        <w:rPr>
          <w:rFonts w:cs="Arial" w:ascii="Arial" w:hAnsi="Arial"/>
          <w:spacing w:val="-10"/>
          <w:sz w:val="20"/>
          <w:szCs w:val="20"/>
        </w:rPr>
        <w:t xml:space="preserve"> </w:t>
      </w:r>
      <w:r>
        <w:rPr>
          <w:rFonts w:cs="Arial" w:ascii="Arial" w:hAnsi="Arial"/>
          <w:sz w:val="20"/>
          <w:szCs w:val="20"/>
        </w:rPr>
        <w:t>Agosto</w:t>
      </w:r>
      <w:r>
        <w:rPr>
          <w:rFonts w:cs="Arial" w:ascii="Arial" w:hAnsi="Arial"/>
          <w:spacing w:val="6"/>
          <w:sz w:val="20"/>
          <w:szCs w:val="20"/>
        </w:rPr>
        <w:t xml:space="preserve"> </w:t>
      </w:r>
      <w:r>
        <w:rPr>
          <w:rFonts w:cs="Arial" w:ascii="Arial" w:hAnsi="Arial"/>
          <w:sz w:val="20"/>
          <w:szCs w:val="20"/>
        </w:rPr>
        <w:t>de</w:t>
      </w:r>
      <w:r>
        <w:rPr>
          <w:rFonts w:cs="Arial" w:ascii="Arial" w:hAnsi="Arial"/>
          <w:spacing w:val="-6"/>
          <w:sz w:val="20"/>
          <w:szCs w:val="20"/>
        </w:rPr>
        <w:t xml:space="preserve"> </w:t>
      </w:r>
      <w:r>
        <w:rPr>
          <w:rFonts w:cs="Arial" w:ascii="Arial" w:hAnsi="Arial"/>
          <w:sz w:val="20"/>
          <w:szCs w:val="20"/>
        </w:rPr>
        <w:t>2020</w:t>
      </w:r>
      <w:r>
        <w:rPr>
          <w:rFonts w:cs="Arial" w:ascii="Arial" w:hAnsi="Arial"/>
          <w:spacing w:val="-2"/>
          <w:sz w:val="20"/>
          <w:szCs w:val="20"/>
        </w:rPr>
        <w:t xml:space="preserve"> </w:t>
      </w:r>
      <w:r>
        <w:rPr>
          <w:rFonts w:cs="Arial" w:ascii="Arial" w:hAnsi="Arial"/>
          <w:sz w:val="20"/>
          <w:szCs w:val="20"/>
        </w:rPr>
        <w:t>e Decreto</w:t>
      </w:r>
      <w:r>
        <w:rPr>
          <w:rFonts w:cs="Arial" w:ascii="Arial" w:hAnsi="Arial"/>
          <w:spacing w:val="5"/>
          <w:sz w:val="20"/>
          <w:szCs w:val="20"/>
        </w:rPr>
        <w:t xml:space="preserve"> </w:t>
      </w:r>
      <w:r>
        <w:rPr>
          <w:rFonts w:cs="Arial" w:ascii="Arial" w:hAnsi="Arial"/>
          <w:sz w:val="20"/>
          <w:szCs w:val="20"/>
        </w:rPr>
        <w:t>nº</w:t>
      </w:r>
      <w:r>
        <w:rPr>
          <w:rFonts w:cs="Arial" w:ascii="Arial" w:hAnsi="Arial"/>
          <w:spacing w:val="3"/>
          <w:sz w:val="20"/>
          <w:szCs w:val="20"/>
        </w:rPr>
        <w:t xml:space="preserve"> </w:t>
      </w:r>
      <w:r>
        <w:rPr>
          <w:rFonts w:cs="Arial" w:ascii="Arial" w:hAnsi="Arial"/>
          <w:sz w:val="20"/>
          <w:szCs w:val="20"/>
        </w:rPr>
        <w:t>10.024,</w:t>
      </w:r>
      <w:r>
        <w:rPr>
          <w:rFonts w:cs="Arial" w:ascii="Arial" w:hAnsi="Arial"/>
          <w:spacing w:val="-3"/>
          <w:sz w:val="20"/>
          <w:szCs w:val="20"/>
        </w:rPr>
        <w:t xml:space="preserve"> </w:t>
      </w:r>
      <w:r>
        <w:rPr>
          <w:rFonts w:cs="Arial" w:ascii="Arial" w:hAnsi="Arial"/>
          <w:sz w:val="20"/>
          <w:szCs w:val="20"/>
        </w:rPr>
        <w:t>de 20</w:t>
      </w:r>
      <w:r>
        <w:rPr>
          <w:rFonts w:cs="Arial" w:ascii="Arial" w:hAnsi="Arial"/>
          <w:spacing w:val="-5"/>
          <w:sz w:val="20"/>
          <w:szCs w:val="20"/>
        </w:rPr>
        <w:t xml:space="preserve"> </w:t>
      </w:r>
      <w:r>
        <w:rPr>
          <w:rFonts w:cs="Arial" w:ascii="Arial" w:hAnsi="Arial"/>
          <w:sz w:val="20"/>
          <w:szCs w:val="20"/>
        </w:rPr>
        <w:t>SET</w:t>
      </w:r>
      <w:r>
        <w:rPr>
          <w:rFonts w:cs="Arial" w:ascii="Arial" w:hAnsi="Arial"/>
          <w:spacing w:val="-7"/>
          <w:sz w:val="20"/>
          <w:szCs w:val="20"/>
        </w:rPr>
        <w:t xml:space="preserve"> </w:t>
      </w:r>
      <w:r>
        <w:rPr>
          <w:rFonts w:cs="Arial" w:ascii="Arial" w:hAnsi="Arial"/>
          <w:sz w:val="20"/>
          <w:szCs w:val="20"/>
        </w:rPr>
        <w:t>2019.</w:t>
      </w:r>
    </w:p>
    <w:p>
      <w:pPr>
        <w:pStyle w:val="Corpodetexto"/>
        <w:tabs>
          <w:tab w:val="left" w:pos="7664" w:leader="none"/>
          <w:tab w:val="left" w:pos="9089" w:leader="none"/>
        </w:tabs>
        <w:spacing w:before="209" w:after="0"/>
        <w:ind w:left="5243" w:right="-994" w:hanging="0"/>
        <w:jc w:val="left"/>
        <w:rPr>
          <w:rFonts w:ascii="Arial" w:hAnsi="Arial" w:cs="Arial"/>
          <w:sz w:val="20"/>
          <w:szCs w:val="20"/>
        </w:rPr>
      </w:pPr>
      <w:r>
        <w:rPr>
          <w:rFonts w:cs="Arial" w:ascii="Arial" w:hAnsi="Arial"/>
          <w:sz w:val="20"/>
          <w:szCs w:val="20"/>
        </w:rPr>
      </w:r>
    </w:p>
    <w:p>
      <w:pPr>
        <w:pStyle w:val="Corpodetexto"/>
        <w:tabs>
          <w:tab w:val="left" w:pos="7664" w:leader="none"/>
          <w:tab w:val="left" w:pos="9089" w:leader="none"/>
        </w:tabs>
        <w:spacing w:before="209" w:after="0"/>
        <w:ind w:left="5243" w:right="-994" w:hanging="0"/>
        <w:jc w:val="left"/>
        <w:rPr/>
      </w:pPr>
      <w:r>
        <w:rPr>
          <w:rFonts w:cs="Arial" w:ascii="Arial" w:hAnsi="Arial"/>
          <w:sz w:val="20"/>
          <w:szCs w:val="20"/>
        </w:rPr>
        <w:t>Rio</w:t>
      </w:r>
      <w:r>
        <w:rPr>
          <w:rFonts w:cs="Arial" w:ascii="Arial" w:hAnsi="Arial"/>
          <w:spacing w:val="2"/>
          <w:sz w:val="20"/>
          <w:szCs w:val="20"/>
        </w:rPr>
        <w:t xml:space="preserve"> </w:t>
      </w:r>
      <w:r>
        <w:rPr>
          <w:rFonts w:cs="Arial" w:ascii="Arial" w:hAnsi="Arial"/>
          <w:sz w:val="20"/>
          <w:szCs w:val="20"/>
        </w:rPr>
        <w:t>de</w:t>
      </w:r>
      <w:r>
        <w:rPr>
          <w:rFonts w:cs="Arial" w:ascii="Arial" w:hAnsi="Arial"/>
          <w:spacing w:val="-3"/>
          <w:sz w:val="20"/>
          <w:szCs w:val="20"/>
        </w:rPr>
        <w:t xml:space="preserve"> </w:t>
      </w:r>
      <w:r>
        <w:rPr>
          <w:rFonts w:cs="Arial" w:ascii="Arial" w:hAnsi="Arial"/>
          <w:sz w:val="20"/>
          <w:szCs w:val="20"/>
        </w:rPr>
        <w:t>Janeiro</w:t>
      </w:r>
      <w:r>
        <w:rPr>
          <w:rFonts w:cs="Arial" w:ascii="Arial" w:hAnsi="Arial"/>
          <w:spacing w:val="5"/>
          <w:sz w:val="20"/>
          <w:szCs w:val="20"/>
        </w:rPr>
        <w:t xml:space="preserve"> </w:t>
      </w:r>
      <w:r>
        <w:rPr>
          <w:rFonts w:cs="Arial" w:ascii="Arial" w:hAnsi="Arial"/>
          <w:sz w:val="20"/>
          <w:szCs w:val="20"/>
        </w:rPr>
        <w:t>–</w:t>
      </w:r>
      <w:r>
        <w:rPr>
          <w:rFonts w:cs="Arial" w:ascii="Arial" w:hAnsi="Arial"/>
          <w:spacing w:val="-2"/>
          <w:sz w:val="20"/>
          <w:szCs w:val="20"/>
        </w:rPr>
        <w:t xml:space="preserve"> </w:t>
      </w:r>
      <w:r>
        <w:rPr>
          <w:rFonts w:cs="Arial" w:ascii="Arial" w:hAnsi="Arial"/>
          <w:sz w:val="20"/>
          <w:szCs w:val="20"/>
        </w:rPr>
        <w:t xml:space="preserve">RJ, ___ de </w:t>
      </w:r>
      <w:r>
        <w:rPr>
          <w:rFonts w:cs="Arial" w:ascii="Arial" w:hAnsi="Arial"/>
          <w:sz w:val="20"/>
          <w:szCs w:val="20"/>
        </w:rPr>
        <w:t>maio</w:t>
      </w:r>
      <w:r>
        <w:rPr>
          <w:rFonts w:cs="Arial" w:ascii="Arial" w:hAnsi="Arial"/>
          <w:spacing w:val="-1"/>
          <w:sz w:val="20"/>
          <w:szCs w:val="20"/>
        </w:rPr>
        <w:t xml:space="preserve"> de </w:t>
      </w:r>
      <w:r>
        <w:rPr>
          <w:rFonts w:cs="Arial" w:ascii="Arial" w:hAnsi="Arial"/>
          <w:sz w:val="20"/>
          <w:szCs w:val="20"/>
        </w:rPr>
        <w:t>2023.</w:t>
      </w:r>
    </w:p>
    <w:p>
      <w:pPr>
        <w:pStyle w:val="Corpodetexto"/>
        <w:spacing w:before="8" w:after="0"/>
        <w:jc w:val="left"/>
        <w:rPr>
          <w:rFonts w:ascii="Arial" w:hAnsi="Arial" w:cs="Arial"/>
          <w:sz w:val="20"/>
          <w:szCs w:val="20"/>
        </w:rPr>
      </w:pPr>
      <w:r>
        <w:rPr>
          <w:rFonts w:cs="Arial" w:ascii="Arial" w:hAnsi="Arial"/>
          <w:sz w:val="20"/>
          <w:szCs w:val="20"/>
        </w:rPr>
      </w:r>
    </w:p>
    <w:p>
      <w:pPr>
        <w:pStyle w:val="Corpodetexto"/>
        <w:spacing w:before="8" w:after="0"/>
        <w:jc w:val="left"/>
        <w:rPr>
          <w:rFonts w:ascii="Arial" w:hAnsi="Arial" w:cs="Arial"/>
          <w:sz w:val="20"/>
          <w:szCs w:val="20"/>
        </w:rPr>
      </w:pPr>
      <w:r>
        <w:rPr>
          <w:rFonts w:cs="Arial" w:ascii="Arial" w:hAnsi="Arial"/>
          <w:sz w:val="20"/>
          <w:szCs w:val="20"/>
        </w:rPr>
      </w:r>
    </w:p>
    <w:p>
      <w:pPr>
        <w:pStyle w:val="Corpodetexto"/>
        <w:spacing w:before="8" w:after="0"/>
        <w:jc w:val="left"/>
        <w:rPr>
          <w:rFonts w:ascii="Arial" w:hAnsi="Arial" w:cs="Arial"/>
          <w:sz w:val="20"/>
          <w:szCs w:val="20"/>
        </w:rPr>
      </w:pPr>
      <w:r>
        <w:rPr>
          <w:rFonts w:cs="Arial" w:ascii="Arial" w:hAnsi="Arial"/>
          <w:sz w:val="20"/>
          <w:szCs w:val="20"/>
        </w:rPr>
      </w:r>
    </w:p>
    <w:p>
      <w:pPr>
        <w:pStyle w:val="Corpodetexto"/>
        <w:spacing w:before="8" w:after="0"/>
        <w:ind w:left="2160" w:hanging="0"/>
        <w:jc w:val="center"/>
        <w:rPr>
          <w:rFonts w:ascii="Arial" w:hAnsi="Arial" w:cs="Arial"/>
          <w:sz w:val="20"/>
          <w:szCs w:val="20"/>
        </w:rPr>
      </w:pPr>
      <w:r>
        <w:rPr>
          <w:rFonts w:cs="Arial" w:ascii="Arial" w:hAnsi="Arial"/>
          <w:sz w:val="20"/>
          <w:szCs w:val="20"/>
        </w:rPr>
      </w:r>
    </w:p>
    <w:tbl>
      <w:tblPr>
        <w:tblW w:w="4665" w:type="dxa"/>
        <w:jc w:val="center"/>
        <w:tblInd w:w="0" w:type="dxa"/>
        <w:tblBorders/>
        <w:tblCellMar>
          <w:top w:w="0" w:type="dxa"/>
          <w:left w:w="0" w:type="dxa"/>
          <w:bottom w:w="0" w:type="dxa"/>
          <w:right w:w="0" w:type="dxa"/>
        </w:tblCellMar>
        <w:tblLook w:firstRow="1" w:noVBand="0" w:lastRow="1" w:firstColumn="1" w:lastColumn="1" w:noHBand="0" w:val="01e0"/>
      </w:tblPr>
      <w:tblGrid>
        <w:gridCol w:w="4665"/>
      </w:tblGrid>
      <w:tr>
        <w:trPr>
          <w:trHeight w:val="1403" w:hRule="atLeast"/>
        </w:trPr>
        <w:tc>
          <w:tcPr>
            <w:tcW w:w="4665" w:type="dxa"/>
            <w:tcBorders/>
            <w:shd w:fill="auto" w:val="clear"/>
          </w:tcPr>
          <w:p>
            <w:pPr>
              <w:pStyle w:val="TableParagraph"/>
              <w:spacing w:lineRule="exact" w:line="20"/>
              <w:ind w:left="195" w:hanging="0"/>
              <w:jc w:val="center"/>
              <w:rPr>
                <w:rFonts w:ascii="Arial" w:hAnsi="Arial" w:cs="Arial"/>
                <w:sz w:val="20"/>
                <w:szCs w:val="20"/>
              </w:rPr>
            </w:pPr>
            <w:r>
              <w:rPr>
                <w:rFonts w:cs="Arial" w:ascii="Arial" w:hAnsi="Arial"/>
                <w:sz w:val="20"/>
                <w:szCs w:val="20"/>
              </w:rPr>
            </w:r>
          </w:p>
          <w:p>
            <w:pPr>
              <w:pStyle w:val="Standard"/>
              <w:jc w:val="center"/>
              <w:rPr>
                <w:rFonts w:ascii="Arial" w:hAnsi="Arial" w:cs="Arial"/>
                <w:b/>
                <w:b/>
                <w:bCs/>
                <w:sz w:val="20"/>
                <w:szCs w:val="20"/>
              </w:rPr>
            </w:pPr>
            <w:r>
              <w:rPr>
                <w:rFonts w:eastAsia="Times New Roman" w:cs="Arial" w:ascii="Arial" w:hAnsi="Arial"/>
                <w:sz w:val="20"/>
                <w:szCs w:val="20"/>
                <w:lang w:val="pt-PT" w:eastAsia="en-US"/>
              </w:rPr>
              <w:t xml:space="preserve">DANIEL CARREIRO </w:t>
            </w:r>
            <w:r>
              <w:rPr>
                <w:rFonts w:eastAsia="Times New Roman" w:cs="Arial" w:ascii="Arial" w:hAnsi="Arial"/>
                <w:b/>
                <w:sz w:val="20"/>
                <w:szCs w:val="20"/>
                <w:lang w:val="pt-PT" w:eastAsia="en-US"/>
              </w:rPr>
              <w:t>LERMEN</w:t>
            </w:r>
            <w:r>
              <w:rPr>
                <w:rFonts w:eastAsia="Times New Roman" w:cs="Arial" w:ascii="Arial" w:hAnsi="Arial"/>
                <w:sz w:val="20"/>
                <w:szCs w:val="20"/>
                <w:lang w:val="pt-PT" w:eastAsia="en-US"/>
              </w:rPr>
              <w:t xml:space="preserve"> DE FALCO </w:t>
            </w:r>
            <w:r>
              <w:rPr>
                <w:rFonts w:cs="Arial" w:ascii="Arial" w:hAnsi="Arial"/>
                <w:b/>
                <w:bCs/>
                <w:sz w:val="20"/>
                <w:szCs w:val="20"/>
              </w:rPr>
              <w:t>– Cap</w:t>
            </w:r>
          </w:p>
          <w:p>
            <w:pPr>
              <w:pStyle w:val="TableParagraph"/>
              <w:spacing w:before="100" w:after="0"/>
              <w:ind w:right="121" w:hanging="0"/>
              <w:jc w:val="center"/>
              <w:rPr>
                <w:rFonts w:ascii="Arial" w:hAnsi="Arial" w:cs="Arial"/>
                <w:b/>
                <w:b/>
                <w:sz w:val="20"/>
                <w:szCs w:val="20"/>
              </w:rPr>
            </w:pPr>
            <w:r>
              <w:rPr>
                <w:rFonts w:cs="Arial" w:ascii="Arial" w:hAnsi="Arial"/>
                <w:b/>
                <w:bCs/>
                <w:sz w:val="20"/>
                <w:szCs w:val="20"/>
              </w:rPr>
              <w:t>Chefe da Divisão Administrativa Externa</w:t>
            </w:r>
          </w:p>
        </w:tc>
      </w:tr>
    </w:tbl>
    <w:p>
      <w:pPr>
        <w:pStyle w:val="Ttulo11"/>
        <w:spacing w:before="169" w:after="0"/>
        <w:ind w:left="1342" w:right="1206" w:hanging="0"/>
        <w:jc w:val="center"/>
        <w:rPr>
          <w:rFonts w:ascii="Arial" w:hAnsi="Arial" w:cs="Arial"/>
          <w:sz w:val="20"/>
          <w:szCs w:val="20"/>
        </w:rPr>
      </w:pPr>
      <w:r>
        <w:rPr>
          <w:rFonts w:cs="Arial" w:ascii="Arial" w:hAnsi="Arial"/>
          <w:sz w:val="20"/>
          <w:szCs w:val="20"/>
        </w:rPr>
        <w:t>DESPACHO</w:t>
      </w:r>
      <w:r>
        <w:rPr>
          <w:rFonts w:cs="Arial" w:ascii="Arial" w:hAnsi="Arial"/>
          <w:spacing w:val="-7"/>
          <w:sz w:val="20"/>
          <w:szCs w:val="20"/>
        </w:rPr>
        <w:t xml:space="preserve"> </w:t>
      </w:r>
      <w:r>
        <w:rPr>
          <w:rFonts w:cs="Arial" w:ascii="Arial" w:hAnsi="Arial"/>
          <w:sz w:val="20"/>
          <w:szCs w:val="20"/>
        </w:rPr>
        <w:t>DO</w:t>
      </w:r>
      <w:r>
        <w:rPr>
          <w:rFonts w:cs="Arial" w:ascii="Arial" w:hAnsi="Arial"/>
          <w:spacing w:val="-6"/>
          <w:sz w:val="20"/>
          <w:szCs w:val="20"/>
        </w:rPr>
        <w:t xml:space="preserve"> </w:t>
      </w:r>
      <w:r>
        <w:rPr>
          <w:rFonts w:cs="Arial" w:ascii="Arial" w:hAnsi="Arial"/>
          <w:sz w:val="20"/>
          <w:szCs w:val="20"/>
        </w:rPr>
        <w:t>ORDENADOR</w:t>
      </w:r>
      <w:r>
        <w:rPr>
          <w:rFonts w:cs="Arial" w:ascii="Arial" w:hAnsi="Arial"/>
          <w:spacing w:val="-8"/>
          <w:sz w:val="20"/>
          <w:szCs w:val="20"/>
        </w:rPr>
        <w:t xml:space="preserve"> </w:t>
      </w:r>
      <w:r>
        <w:rPr>
          <w:rFonts w:cs="Arial" w:ascii="Arial" w:hAnsi="Arial"/>
          <w:sz w:val="20"/>
          <w:szCs w:val="20"/>
        </w:rPr>
        <w:t>DE</w:t>
      </w:r>
      <w:r>
        <w:rPr>
          <w:rFonts w:cs="Arial" w:ascii="Arial" w:hAnsi="Arial"/>
          <w:spacing w:val="-8"/>
          <w:sz w:val="20"/>
          <w:szCs w:val="20"/>
        </w:rPr>
        <w:t xml:space="preserve"> </w:t>
      </w:r>
      <w:r>
        <w:rPr>
          <w:rFonts w:cs="Arial" w:ascii="Arial" w:hAnsi="Arial"/>
          <w:sz w:val="20"/>
          <w:szCs w:val="20"/>
        </w:rPr>
        <w:t>DESPESAS</w:t>
      </w:r>
    </w:p>
    <w:p>
      <w:pPr>
        <w:pStyle w:val="Corpodetexto"/>
        <w:spacing w:lineRule="auto" w:line="276" w:before="234" w:after="0"/>
        <w:ind w:left="273" w:right="128" w:firstLine="566"/>
        <w:rPr>
          <w:rFonts w:ascii="Arial" w:hAnsi="Arial" w:cs="Arial"/>
          <w:sz w:val="20"/>
          <w:szCs w:val="20"/>
        </w:rPr>
      </w:pPr>
      <w:r>
        <w:rPr>
          <w:rFonts w:cs="Arial" w:ascii="Arial" w:hAnsi="Arial"/>
          <w:sz w:val="20"/>
          <w:szCs w:val="20"/>
        </w:rPr>
        <w:t>Considerando</w:t>
      </w:r>
      <w:r>
        <w:rPr>
          <w:rFonts w:cs="Arial" w:ascii="Arial" w:hAnsi="Arial"/>
          <w:spacing w:val="1"/>
          <w:sz w:val="20"/>
          <w:szCs w:val="20"/>
        </w:rPr>
        <w:t xml:space="preserve"> </w:t>
      </w:r>
      <w:r>
        <w:rPr>
          <w:rFonts w:cs="Arial" w:ascii="Arial" w:hAnsi="Arial"/>
          <w:sz w:val="20"/>
          <w:szCs w:val="20"/>
        </w:rPr>
        <w:t>os</w:t>
      </w:r>
      <w:r>
        <w:rPr>
          <w:rFonts w:cs="Arial" w:ascii="Arial" w:hAnsi="Arial"/>
          <w:spacing w:val="1"/>
          <w:sz w:val="20"/>
          <w:szCs w:val="20"/>
        </w:rPr>
        <w:t xml:space="preserve"> </w:t>
      </w:r>
      <w:r>
        <w:rPr>
          <w:rFonts w:cs="Arial" w:ascii="Arial" w:hAnsi="Arial"/>
          <w:sz w:val="20"/>
          <w:szCs w:val="20"/>
        </w:rPr>
        <w:t>motivos</w:t>
      </w:r>
      <w:r>
        <w:rPr>
          <w:rFonts w:cs="Arial" w:ascii="Arial" w:hAnsi="Arial"/>
          <w:spacing w:val="1"/>
          <w:sz w:val="20"/>
          <w:szCs w:val="20"/>
        </w:rPr>
        <w:t xml:space="preserve"> </w:t>
      </w:r>
      <w:r>
        <w:rPr>
          <w:rFonts w:cs="Arial" w:ascii="Arial" w:hAnsi="Arial"/>
          <w:sz w:val="20"/>
          <w:szCs w:val="20"/>
        </w:rPr>
        <w:t>expostos</w:t>
      </w:r>
      <w:r>
        <w:rPr>
          <w:rFonts w:cs="Arial" w:ascii="Arial" w:hAnsi="Arial"/>
          <w:spacing w:val="1"/>
          <w:sz w:val="20"/>
          <w:szCs w:val="20"/>
        </w:rPr>
        <w:t xml:space="preserve"> </w:t>
      </w:r>
      <w:r>
        <w:rPr>
          <w:rFonts w:cs="Arial" w:ascii="Arial" w:hAnsi="Arial"/>
          <w:sz w:val="20"/>
          <w:szCs w:val="20"/>
        </w:rPr>
        <w:t>e</w:t>
      </w:r>
      <w:r>
        <w:rPr>
          <w:rFonts w:cs="Arial" w:ascii="Arial" w:hAnsi="Arial"/>
          <w:spacing w:val="1"/>
          <w:sz w:val="20"/>
          <w:szCs w:val="20"/>
        </w:rPr>
        <w:t xml:space="preserve"> </w:t>
      </w:r>
      <w:r>
        <w:rPr>
          <w:rFonts w:cs="Arial" w:ascii="Arial" w:hAnsi="Arial"/>
          <w:sz w:val="20"/>
          <w:szCs w:val="20"/>
        </w:rPr>
        <w:t>justificados,</w:t>
      </w:r>
      <w:r>
        <w:rPr>
          <w:rFonts w:cs="Arial" w:ascii="Arial" w:hAnsi="Arial"/>
          <w:spacing w:val="1"/>
          <w:sz w:val="20"/>
          <w:szCs w:val="20"/>
        </w:rPr>
        <w:t xml:space="preserve"> </w:t>
      </w:r>
      <w:r>
        <w:rPr>
          <w:rFonts w:cs="Arial" w:ascii="Arial" w:hAnsi="Arial"/>
          <w:sz w:val="20"/>
          <w:szCs w:val="20"/>
        </w:rPr>
        <w:t>o</w:t>
      </w:r>
      <w:r>
        <w:rPr>
          <w:rFonts w:cs="Arial" w:ascii="Arial" w:hAnsi="Arial"/>
          <w:spacing w:val="1"/>
          <w:sz w:val="20"/>
          <w:szCs w:val="20"/>
        </w:rPr>
        <w:t xml:space="preserve"> </w:t>
      </w:r>
      <w:r>
        <w:rPr>
          <w:rFonts w:cs="Arial" w:ascii="Arial" w:hAnsi="Arial"/>
          <w:sz w:val="20"/>
          <w:szCs w:val="20"/>
        </w:rPr>
        <w:t>planejamento</w:t>
      </w:r>
      <w:r>
        <w:rPr>
          <w:rFonts w:cs="Arial" w:ascii="Arial" w:hAnsi="Arial"/>
          <w:spacing w:val="1"/>
          <w:sz w:val="20"/>
          <w:szCs w:val="20"/>
        </w:rPr>
        <w:t xml:space="preserve"> </w:t>
      </w:r>
      <w:r>
        <w:rPr>
          <w:rFonts w:cs="Arial" w:ascii="Arial" w:hAnsi="Arial"/>
          <w:sz w:val="20"/>
          <w:szCs w:val="20"/>
        </w:rPr>
        <w:t>e também os</w:t>
      </w:r>
      <w:r>
        <w:rPr>
          <w:rFonts w:cs="Arial" w:ascii="Arial" w:hAnsi="Arial"/>
          <w:spacing w:val="1"/>
          <w:sz w:val="20"/>
          <w:szCs w:val="20"/>
        </w:rPr>
        <w:t xml:space="preserve"> </w:t>
      </w:r>
      <w:r>
        <w:rPr>
          <w:rFonts w:cs="Arial" w:ascii="Arial" w:hAnsi="Arial"/>
          <w:sz w:val="20"/>
          <w:szCs w:val="20"/>
        </w:rPr>
        <w:t>critérios</w:t>
      </w:r>
      <w:r>
        <w:rPr>
          <w:rFonts w:cs="Arial" w:ascii="Arial" w:hAnsi="Arial"/>
          <w:spacing w:val="1"/>
          <w:sz w:val="20"/>
          <w:szCs w:val="20"/>
        </w:rPr>
        <w:t xml:space="preserve"> </w:t>
      </w:r>
      <w:r>
        <w:rPr>
          <w:rFonts w:cs="Arial" w:ascii="Arial" w:hAnsi="Arial"/>
          <w:spacing w:val="-2"/>
          <w:sz w:val="20"/>
          <w:szCs w:val="20"/>
        </w:rPr>
        <w:t>utilizados</w:t>
      </w:r>
      <w:r>
        <w:rPr>
          <w:rFonts w:cs="Arial" w:ascii="Arial" w:hAnsi="Arial"/>
          <w:spacing w:val="-10"/>
          <w:sz w:val="20"/>
          <w:szCs w:val="20"/>
        </w:rPr>
        <w:t xml:space="preserve"> </w:t>
      </w:r>
      <w:r>
        <w:rPr>
          <w:rFonts w:cs="Arial" w:ascii="Arial" w:hAnsi="Arial"/>
          <w:spacing w:val="-1"/>
          <w:sz w:val="20"/>
          <w:szCs w:val="20"/>
        </w:rPr>
        <w:t>no</w:t>
      </w:r>
      <w:r>
        <w:rPr>
          <w:rFonts w:cs="Arial" w:ascii="Arial" w:hAnsi="Arial"/>
          <w:spacing w:val="-12"/>
          <w:sz w:val="20"/>
          <w:szCs w:val="20"/>
        </w:rPr>
        <w:t xml:space="preserve"> </w:t>
      </w:r>
      <w:r>
        <w:rPr>
          <w:rFonts w:cs="Arial" w:ascii="Arial" w:hAnsi="Arial"/>
          <w:spacing w:val="-1"/>
          <w:sz w:val="20"/>
          <w:szCs w:val="20"/>
        </w:rPr>
        <w:t>Termo</w:t>
      </w:r>
      <w:r>
        <w:rPr>
          <w:rFonts w:cs="Arial" w:ascii="Arial" w:hAnsi="Arial"/>
          <w:spacing w:val="-2"/>
          <w:sz w:val="20"/>
          <w:szCs w:val="20"/>
        </w:rPr>
        <w:t xml:space="preserve"> </w:t>
      </w:r>
      <w:r>
        <w:rPr>
          <w:rFonts w:cs="Arial" w:ascii="Arial" w:hAnsi="Arial"/>
          <w:spacing w:val="-1"/>
          <w:sz w:val="20"/>
          <w:szCs w:val="20"/>
        </w:rPr>
        <w:t>de</w:t>
      </w:r>
      <w:r>
        <w:rPr>
          <w:rFonts w:cs="Arial" w:ascii="Arial" w:hAnsi="Arial"/>
          <w:spacing w:val="-12"/>
          <w:sz w:val="20"/>
          <w:szCs w:val="20"/>
        </w:rPr>
        <w:t xml:space="preserve"> </w:t>
      </w:r>
      <w:r>
        <w:rPr>
          <w:rFonts w:cs="Arial" w:ascii="Arial" w:hAnsi="Arial"/>
          <w:spacing w:val="-1"/>
          <w:sz w:val="20"/>
          <w:szCs w:val="20"/>
        </w:rPr>
        <w:t>Referência,</w:t>
      </w:r>
      <w:r>
        <w:rPr>
          <w:rFonts w:cs="Arial" w:ascii="Arial" w:hAnsi="Arial"/>
          <w:spacing w:val="-6"/>
          <w:sz w:val="20"/>
          <w:szCs w:val="20"/>
        </w:rPr>
        <w:t xml:space="preserve"> </w:t>
      </w:r>
      <w:r>
        <w:rPr>
          <w:rFonts w:cs="Arial" w:ascii="Arial" w:hAnsi="Arial"/>
          <w:spacing w:val="-1"/>
          <w:sz w:val="20"/>
          <w:szCs w:val="20"/>
        </w:rPr>
        <w:t>bem</w:t>
      </w:r>
      <w:r>
        <w:rPr>
          <w:rFonts w:cs="Arial" w:ascii="Arial" w:hAnsi="Arial"/>
          <w:spacing w:val="-16"/>
          <w:sz w:val="20"/>
          <w:szCs w:val="20"/>
        </w:rPr>
        <w:t xml:space="preserve"> </w:t>
      </w:r>
      <w:r>
        <w:rPr>
          <w:rFonts w:cs="Arial" w:ascii="Arial" w:hAnsi="Arial"/>
          <w:spacing w:val="-1"/>
          <w:sz w:val="20"/>
          <w:szCs w:val="20"/>
        </w:rPr>
        <w:t>como</w:t>
      </w:r>
      <w:r>
        <w:rPr>
          <w:rFonts w:cs="Arial" w:ascii="Arial" w:hAnsi="Arial"/>
          <w:spacing w:val="-2"/>
          <w:sz w:val="20"/>
          <w:szCs w:val="20"/>
        </w:rPr>
        <w:t xml:space="preserve"> </w:t>
      </w:r>
      <w:r>
        <w:rPr>
          <w:rFonts w:cs="Arial" w:ascii="Arial" w:hAnsi="Arial"/>
          <w:spacing w:val="-1"/>
          <w:sz w:val="20"/>
          <w:szCs w:val="20"/>
        </w:rPr>
        <w:t>a</w:t>
      </w:r>
      <w:r>
        <w:rPr>
          <w:rFonts w:cs="Arial" w:ascii="Arial" w:hAnsi="Arial"/>
          <w:spacing w:val="-12"/>
          <w:sz w:val="20"/>
          <w:szCs w:val="20"/>
        </w:rPr>
        <w:t xml:space="preserve"> </w:t>
      </w:r>
      <w:r>
        <w:rPr>
          <w:rFonts w:cs="Arial" w:ascii="Arial" w:hAnsi="Arial"/>
          <w:spacing w:val="-1"/>
          <w:sz w:val="20"/>
          <w:szCs w:val="20"/>
        </w:rPr>
        <w:t>disponibilidade</w:t>
      </w:r>
      <w:r>
        <w:rPr>
          <w:rFonts w:cs="Arial" w:ascii="Arial" w:hAnsi="Arial"/>
          <w:spacing w:val="-9"/>
          <w:sz w:val="20"/>
          <w:szCs w:val="20"/>
        </w:rPr>
        <w:t xml:space="preserve"> </w:t>
      </w:r>
      <w:r>
        <w:rPr>
          <w:rFonts w:cs="Arial" w:ascii="Arial" w:hAnsi="Arial"/>
          <w:spacing w:val="-1"/>
          <w:sz w:val="20"/>
          <w:szCs w:val="20"/>
        </w:rPr>
        <w:t>orçamentária,</w:t>
      </w:r>
      <w:r>
        <w:rPr>
          <w:rFonts w:cs="Arial" w:ascii="Arial" w:hAnsi="Arial"/>
          <w:spacing w:val="-5"/>
          <w:sz w:val="20"/>
          <w:szCs w:val="20"/>
        </w:rPr>
        <w:t xml:space="preserve"> </w:t>
      </w:r>
      <w:r>
        <w:rPr>
          <w:rFonts w:cs="Arial" w:ascii="Arial" w:hAnsi="Arial"/>
          <w:spacing w:val="-1"/>
          <w:sz w:val="20"/>
          <w:szCs w:val="20"/>
        </w:rPr>
        <w:t>aprovo</w:t>
      </w:r>
      <w:r>
        <w:rPr>
          <w:rFonts w:cs="Arial" w:ascii="Arial" w:hAnsi="Arial"/>
          <w:spacing w:val="-7"/>
          <w:sz w:val="20"/>
          <w:szCs w:val="20"/>
        </w:rPr>
        <w:t xml:space="preserve"> </w:t>
      </w:r>
      <w:r>
        <w:rPr>
          <w:rFonts w:cs="Arial" w:ascii="Arial" w:hAnsi="Arial"/>
          <w:spacing w:val="-1"/>
          <w:sz w:val="20"/>
          <w:szCs w:val="20"/>
        </w:rPr>
        <w:t>este</w:t>
      </w:r>
      <w:r>
        <w:rPr>
          <w:rFonts w:cs="Arial" w:ascii="Arial" w:hAnsi="Arial"/>
          <w:spacing w:val="-12"/>
          <w:sz w:val="20"/>
          <w:szCs w:val="20"/>
        </w:rPr>
        <w:t xml:space="preserve"> </w:t>
      </w:r>
      <w:r>
        <w:rPr>
          <w:rFonts w:cs="Arial" w:ascii="Arial" w:hAnsi="Arial"/>
          <w:spacing w:val="-1"/>
          <w:sz w:val="20"/>
          <w:szCs w:val="20"/>
        </w:rPr>
        <w:t>documento</w:t>
      </w:r>
      <w:r>
        <w:rPr>
          <w:rFonts w:cs="Arial" w:ascii="Arial" w:hAnsi="Arial"/>
          <w:spacing w:val="-58"/>
          <w:sz w:val="20"/>
          <w:szCs w:val="20"/>
        </w:rPr>
        <w:t xml:space="preserve"> </w:t>
      </w:r>
      <w:r>
        <w:rPr>
          <w:rFonts w:cs="Arial" w:ascii="Arial" w:hAnsi="Arial"/>
          <w:sz w:val="20"/>
          <w:szCs w:val="20"/>
        </w:rPr>
        <w:t>de acordo</w:t>
      </w:r>
      <w:r>
        <w:rPr>
          <w:rFonts w:cs="Arial" w:ascii="Arial" w:hAnsi="Arial"/>
          <w:spacing w:val="1"/>
          <w:sz w:val="20"/>
          <w:szCs w:val="20"/>
        </w:rPr>
        <w:t xml:space="preserve"> </w:t>
      </w:r>
      <w:r>
        <w:rPr>
          <w:rFonts w:cs="Arial" w:ascii="Arial" w:hAnsi="Arial"/>
          <w:sz w:val="20"/>
          <w:szCs w:val="20"/>
        </w:rPr>
        <w:t>com</w:t>
      </w:r>
      <w:r>
        <w:rPr>
          <w:rFonts w:cs="Arial" w:ascii="Arial" w:hAnsi="Arial"/>
          <w:spacing w:val="-7"/>
          <w:sz w:val="20"/>
          <w:szCs w:val="20"/>
        </w:rPr>
        <w:t xml:space="preserve"> </w:t>
      </w:r>
      <w:r>
        <w:rPr>
          <w:rFonts w:cs="Arial" w:ascii="Arial" w:hAnsi="Arial"/>
          <w:sz w:val="20"/>
          <w:szCs w:val="20"/>
        </w:rPr>
        <w:t>o</w:t>
      </w:r>
      <w:r>
        <w:rPr>
          <w:rFonts w:cs="Arial" w:ascii="Arial" w:hAnsi="Arial"/>
          <w:spacing w:val="5"/>
          <w:sz w:val="20"/>
          <w:szCs w:val="20"/>
        </w:rPr>
        <w:t xml:space="preserve"> </w:t>
      </w:r>
      <w:r>
        <w:rPr>
          <w:rFonts w:cs="Arial" w:ascii="Arial" w:hAnsi="Arial"/>
          <w:sz w:val="20"/>
          <w:szCs w:val="20"/>
        </w:rPr>
        <w:t>inciso</w:t>
      </w:r>
      <w:r>
        <w:rPr>
          <w:rFonts w:cs="Arial" w:ascii="Arial" w:hAnsi="Arial"/>
          <w:spacing w:val="6"/>
          <w:sz w:val="20"/>
          <w:szCs w:val="20"/>
        </w:rPr>
        <w:t xml:space="preserve"> </w:t>
      </w:r>
      <w:r>
        <w:rPr>
          <w:rFonts w:cs="Arial" w:ascii="Arial" w:hAnsi="Arial"/>
          <w:sz w:val="20"/>
          <w:szCs w:val="20"/>
        </w:rPr>
        <w:t>II</w:t>
      </w:r>
      <w:r>
        <w:rPr>
          <w:rFonts w:cs="Arial" w:ascii="Arial" w:hAnsi="Arial"/>
          <w:spacing w:val="2"/>
          <w:sz w:val="20"/>
          <w:szCs w:val="20"/>
        </w:rPr>
        <w:t xml:space="preserve"> </w:t>
      </w:r>
      <w:r>
        <w:rPr>
          <w:rFonts w:cs="Arial" w:ascii="Arial" w:hAnsi="Arial"/>
          <w:sz w:val="20"/>
          <w:szCs w:val="20"/>
        </w:rPr>
        <w:t>do</w:t>
      </w:r>
      <w:r>
        <w:rPr>
          <w:rFonts w:cs="Arial" w:ascii="Arial" w:hAnsi="Arial"/>
          <w:spacing w:val="-8"/>
          <w:sz w:val="20"/>
          <w:szCs w:val="20"/>
        </w:rPr>
        <w:t xml:space="preserve"> </w:t>
      </w:r>
      <w:r>
        <w:rPr>
          <w:rFonts w:cs="Arial" w:ascii="Arial" w:hAnsi="Arial"/>
          <w:sz w:val="20"/>
          <w:szCs w:val="20"/>
        </w:rPr>
        <w:t>Art</w:t>
      </w:r>
      <w:r>
        <w:rPr>
          <w:rFonts w:cs="Arial" w:ascii="Arial" w:hAnsi="Arial"/>
          <w:spacing w:val="1"/>
          <w:sz w:val="20"/>
          <w:szCs w:val="20"/>
        </w:rPr>
        <w:t xml:space="preserve"> </w:t>
      </w:r>
      <w:r>
        <w:rPr>
          <w:rFonts w:cs="Arial" w:ascii="Arial" w:hAnsi="Arial"/>
          <w:sz w:val="20"/>
          <w:szCs w:val="20"/>
        </w:rPr>
        <w:t>14</w:t>
      </w:r>
      <w:r>
        <w:rPr>
          <w:rFonts w:cs="Arial" w:ascii="Arial" w:hAnsi="Arial"/>
          <w:spacing w:val="1"/>
          <w:sz w:val="20"/>
          <w:szCs w:val="20"/>
        </w:rPr>
        <w:t xml:space="preserve"> </w:t>
      </w:r>
      <w:r>
        <w:rPr>
          <w:rFonts w:cs="Arial" w:ascii="Arial" w:hAnsi="Arial"/>
          <w:sz w:val="20"/>
          <w:szCs w:val="20"/>
        </w:rPr>
        <w:t>do</w:t>
      </w:r>
      <w:r>
        <w:rPr>
          <w:rFonts w:cs="Arial" w:ascii="Arial" w:hAnsi="Arial"/>
          <w:spacing w:val="2"/>
          <w:sz w:val="20"/>
          <w:szCs w:val="20"/>
        </w:rPr>
        <w:t xml:space="preserve"> </w:t>
      </w:r>
      <w:r>
        <w:rPr>
          <w:rFonts w:cs="Arial" w:ascii="Arial" w:hAnsi="Arial"/>
          <w:sz w:val="20"/>
          <w:szCs w:val="20"/>
        </w:rPr>
        <w:t>Decreto</w:t>
      </w:r>
      <w:r>
        <w:rPr>
          <w:rFonts w:cs="Arial" w:ascii="Arial" w:hAnsi="Arial"/>
          <w:spacing w:val="6"/>
          <w:sz w:val="20"/>
          <w:szCs w:val="20"/>
        </w:rPr>
        <w:t xml:space="preserve"> </w:t>
      </w:r>
      <w:r>
        <w:rPr>
          <w:rFonts w:cs="Arial" w:ascii="Arial" w:hAnsi="Arial"/>
          <w:sz w:val="20"/>
          <w:szCs w:val="20"/>
        </w:rPr>
        <w:t>10.024/2019.</w:t>
      </w:r>
    </w:p>
    <w:p>
      <w:pPr>
        <w:pStyle w:val="Corpodetexto"/>
        <w:tabs>
          <w:tab w:val="left" w:pos="7664" w:leader="none"/>
          <w:tab w:val="left" w:pos="9089" w:leader="none"/>
        </w:tabs>
        <w:spacing w:before="209" w:after="0"/>
        <w:ind w:left="5243" w:hanging="0"/>
        <w:jc w:val="left"/>
        <w:rPr/>
      </w:pPr>
      <w:r>
        <w:rPr>
          <w:rFonts w:cs="Arial" w:ascii="Arial" w:hAnsi="Arial"/>
          <w:sz w:val="20"/>
          <w:szCs w:val="20"/>
        </w:rPr>
        <w:t>Rio</w:t>
      </w:r>
      <w:r>
        <w:rPr>
          <w:rFonts w:cs="Arial" w:ascii="Arial" w:hAnsi="Arial"/>
          <w:spacing w:val="2"/>
          <w:sz w:val="20"/>
          <w:szCs w:val="20"/>
        </w:rPr>
        <w:t xml:space="preserve"> </w:t>
      </w:r>
      <w:r>
        <w:rPr>
          <w:rFonts w:cs="Arial" w:ascii="Arial" w:hAnsi="Arial"/>
          <w:sz w:val="20"/>
          <w:szCs w:val="20"/>
        </w:rPr>
        <w:t>de</w:t>
      </w:r>
      <w:r>
        <w:rPr>
          <w:rFonts w:cs="Arial" w:ascii="Arial" w:hAnsi="Arial"/>
          <w:spacing w:val="-3"/>
          <w:sz w:val="20"/>
          <w:szCs w:val="20"/>
        </w:rPr>
        <w:t xml:space="preserve"> </w:t>
      </w:r>
      <w:r>
        <w:rPr>
          <w:rFonts w:cs="Arial" w:ascii="Arial" w:hAnsi="Arial"/>
          <w:sz w:val="20"/>
          <w:szCs w:val="20"/>
        </w:rPr>
        <w:t>Janeiro</w:t>
      </w:r>
      <w:r>
        <w:rPr>
          <w:rFonts w:cs="Arial" w:ascii="Arial" w:hAnsi="Arial"/>
          <w:spacing w:val="5"/>
          <w:sz w:val="20"/>
          <w:szCs w:val="20"/>
        </w:rPr>
        <w:t xml:space="preserve"> </w:t>
      </w:r>
      <w:r>
        <w:rPr>
          <w:rFonts w:cs="Arial" w:ascii="Arial" w:hAnsi="Arial"/>
          <w:sz w:val="20"/>
          <w:szCs w:val="20"/>
        </w:rPr>
        <w:t>–</w:t>
      </w:r>
      <w:r>
        <w:rPr>
          <w:rFonts w:cs="Arial" w:ascii="Arial" w:hAnsi="Arial"/>
          <w:spacing w:val="-2"/>
          <w:sz w:val="20"/>
          <w:szCs w:val="20"/>
        </w:rPr>
        <w:t xml:space="preserve"> </w:t>
      </w:r>
      <w:r>
        <w:rPr>
          <w:rFonts w:cs="Arial" w:ascii="Arial" w:hAnsi="Arial"/>
          <w:sz w:val="20"/>
          <w:szCs w:val="20"/>
        </w:rPr>
        <w:t xml:space="preserve">RJ, ___ de </w:t>
      </w:r>
      <w:r>
        <w:rPr>
          <w:rFonts w:cs="Arial" w:ascii="Arial" w:hAnsi="Arial"/>
          <w:sz w:val="20"/>
          <w:szCs w:val="20"/>
        </w:rPr>
        <w:t>maio</w:t>
      </w:r>
      <w:r>
        <w:rPr>
          <w:rFonts w:cs="Arial" w:ascii="Arial" w:hAnsi="Arial"/>
          <w:spacing w:val="-1"/>
          <w:sz w:val="20"/>
          <w:szCs w:val="20"/>
        </w:rPr>
        <w:t xml:space="preserve"> de </w:t>
      </w:r>
      <w:r>
        <w:rPr>
          <w:rFonts w:cs="Arial" w:ascii="Arial" w:hAnsi="Arial"/>
          <w:sz w:val="20"/>
          <w:szCs w:val="20"/>
        </w:rPr>
        <w:t>2023.</w:t>
      </w:r>
    </w:p>
    <w:p>
      <w:pPr>
        <w:pStyle w:val="Corpodetexto"/>
        <w:jc w:val="left"/>
        <w:rPr>
          <w:rFonts w:ascii="Arial" w:hAnsi="Arial" w:cs="Arial"/>
          <w:sz w:val="20"/>
          <w:szCs w:val="20"/>
        </w:rPr>
      </w:pPr>
      <w:r>
        <w:rPr>
          <w:rFonts w:cs="Arial" w:ascii="Arial" w:hAnsi="Arial"/>
          <w:sz w:val="20"/>
          <w:szCs w:val="20"/>
        </w:rPr>
      </w:r>
    </w:p>
    <w:p>
      <w:pPr>
        <w:pStyle w:val="Corpodetexto"/>
        <w:jc w:val="left"/>
        <w:rPr>
          <w:rFonts w:ascii="Arial" w:hAnsi="Arial" w:cs="Arial"/>
          <w:sz w:val="20"/>
          <w:szCs w:val="20"/>
        </w:rPr>
      </w:pPr>
      <w:r>
        <w:rPr>
          <w:rFonts w:cs="Arial" w:ascii="Arial" w:hAnsi="Arial"/>
          <w:sz w:val="20"/>
          <w:szCs w:val="20"/>
        </w:rPr>
      </w:r>
    </w:p>
    <w:p>
      <w:pPr>
        <w:pStyle w:val="Corpodetexto"/>
        <w:jc w:val="left"/>
        <w:rPr>
          <w:rFonts w:ascii="Arial" w:hAnsi="Arial" w:cs="Arial"/>
          <w:sz w:val="20"/>
          <w:szCs w:val="20"/>
        </w:rPr>
      </w:pPr>
      <w:r>
        <w:rPr>
          <w:rFonts w:cs="Arial" w:ascii="Arial" w:hAnsi="Arial"/>
          <w:sz w:val="20"/>
          <w:szCs w:val="20"/>
        </w:rPr>
      </w:r>
    </w:p>
    <w:p>
      <w:pPr>
        <w:pStyle w:val="Corpodetexto"/>
        <w:jc w:val="left"/>
        <w:rPr>
          <w:rFonts w:ascii="Arial" w:hAnsi="Arial" w:cs="Arial"/>
          <w:sz w:val="20"/>
          <w:szCs w:val="20"/>
        </w:rPr>
      </w:pPr>
      <w:r>
        <w:rPr>
          <w:rFonts w:cs="Arial" w:ascii="Arial" w:hAnsi="Arial"/>
          <w:sz w:val="20"/>
          <w:szCs w:val="20"/>
        </w:rPr>
      </w:r>
    </w:p>
    <w:p>
      <w:pPr>
        <w:pStyle w:val="LONormal"/>
        <w:jc w:val="center"/>
        <w:rPr>
          <w:rFonts w:ascii="Arial" w:hAnsi="Arial" w:eastAsia="Ecofont_Spranq_eco_Sans" w:cs="Arial"/>
          <w:bCs/>
        </w:rPr>
      </w:pPr>
      <w:r>
        <w:rPr>
          <w:rFonts w:eastAsia="Ecofont_Spranq_eco_Sans" w:cs="Arial" w:ascii="Arial" w:hAnsi="Arial"/>
          <w:bCs/>
        </w:rPr>
        <w:t xml:space="preserve">KLAUBER ROGERIO </w:t>
      </w:r>
      <w:r>
        <w:rPr>
          <w:rFonts w:eastAsia="Ecofont_Spranq_eco_Sans" w:cs="Arial" w:ascii="Arial" w:hAnsi="Arial"/>
          <w:b/>
          <w:bCs/>
        </w:rPr>
        <w:t>CANDIAN – Cel</w:t>
      </w:r>
    </w:p>
    <w:p>
      <w:pPr>
        <w:pStyle w:val="Ttulo11"/>
        <w:ind w:left="1342" w:right="1205" w:hanging="0"/>
        <w:jc w:val="center"/>
        <w:rPr/>
      </w:pPr>
      <w:r>
        <w:rPr>
          <w:rFonts w:cs="Arial" w:ascii="Arial" w:hAnsi="Arial"/>
          <w:sz w:val="20"/>
          <w:szCs w:val="20"/>
        </w:rPr>
        <w:t>Ordenador de Despesas B Adm Cmpl Sau RJ</w:t>
      </w:r>
    </w:p>
    <w:sectPr>
      <w:footerReference w:type="default" r:id="rId3"/>
      <w:type w:val="nextPage"/>
      <w:pgSz w:w="11906" w:h="16838"/>
      <w:pgMar w:left="1276" w:right="849" w:header="0" w:top="1418" w:footer="709" w:bottom="1418" w:gutter="0"/>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Cambria">
    <w:charset w:val="00"/>
    <w:family w:val="roman"/>
    <w:pitch w:val="variable"/>
  </w:font>
  <w:font w:name="Tahoma">
    <w:charset w:val="00"/>
    <w:family w:val="roman"/>
    <w:pitch w:val="variable"/>
  </w:font>
  <w:font w:name="Ecofont_Spranq_eco_Sans">
    <w:charset w:val="00"/>
    <w:family w:val="roman"/>
    <w:pitch w:val="variable"/>
  </w:font>
  <w:font w:name="Liberation Sans">
    <w:altName w:val="Arial"/>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rFonts w:ascii="Times New Roman" w:hAnsi="Times New Roman" w:cs="Times New Roman"/>
      </w:rPr>
    </w:pPr>
    <w:r>
      <w:rPr>
        <w:rFonts w:cs="Times New Roman" w:ascii="Times New Roman" w:hAnsi="Times New Roman"/>
      </w:rPr>
      <w:t>____________________________________________________________________</w:t>
    </w:r>
  </w:p>
  <w:p>
    <w:pPr>
      <w:pStyle w:val="Rodap"/>
      <w:rPr>
        <w:rFonts w:cs="Arial"/>
        <w:sz w:val="12"/>
        <w:szCs w:val="12"/>
      </w:rPr>
    </w:pPr>
    <w:r>
      <w:rPr>
        <w:rFonts w:cs="Arial"/>
        <w:sz w:val="12"/>
        <w:szCs w:val="12"/>
      </w:rPr>
      <w:t>Câmara Nacional de Modelos de Licitações e Contratos da Consultoria-Geral da União</w:t>
    </w:r>
  </w:p>
  <w:p>
    <w:pPr>
      <w:pStyle w:val="Rodap"/>
      <w:rPr>
        <w:rFonts w:cs="Arial"/>
        <w:sz w:val="12"/>
        <w:szCs w:val="12"/>
      </w:rPr>
    </w:pPr>
    <w:r>
      <w:rPr>
        <w:rFonts w:cs="Arial"/>
        <w:sz w:val="12"/>
        <w:szCs w:val="12"/>
      </w:rPr>
      <w:t>Termo de Referência - Modelo para Pregão Eletrônico – Compras</w:t>
    </w:r>
  </w:p>
  <w:p>
    <w:pPr>
      <w:pStyle w:val="Rodap"/>
      <w:rPr>
        <w:rFonts w:cs="Arial"/>
      </w:rPr>
    </w:pPr>
    <w:r>
      <w:rPr>
        <w:rFonts w:cs="Arial"/>
        <w:sz w:val="12"/>
        <w:szCs w:val="12"/>
      </w:rPr>
      <w:t>Atualização: Junho/2021</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1"/>
      <w:numFmt w:val="decimal"/>
      <w:lvlText w:val="%1."/>
      <w:lvlJc w:val="left"/>
      <w:pPr>
        <w:ind w:left="360" w:hanging="360"/>
      </w:pPr>
      <w:rPr>
        <w:b/>
        <w:color w:val="00000A"/>
      </w:rPr>
    </w:lvl>
    <w:lvl w:ilvl="1">
      <w:start w:val="1"/>
      <w:numFmt w:val="decimal"/>
      <w:lvlText w:val="%1.%2."/>
      <w:lvlJc w:val="left"/>
      <w:pPr>
        <w:ind w:left="716" w:hanging="432"/>
      </w:pPr>
      <w:rPr>
        <w:dstrike w:val="false"/>
        <w:strike w:val="false"/>
        <w:i w:val="false"/>
        <w:b w:val="false"/>
        <w:color w:val="00000A"/>
      </w:rPr>
    </w:lvl>
    <w:lvl w:ilvl="2">
      <w:start w:val="1"/>
      <w:numFmt w:val="decimal"/>
      <w:lvlText w:val="%1.%2.%3."/>
      <w:lvlJc w:val="left"/>
      <w:pPr>
        <w:ind w:left="930" w:hanging="504"/>
      </w:pPr>
      <w:rPr>
        <w:i w:val="false"/>
        <w:b w:val="false"/>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lvl w:ilvl="0">
      <w:start w:val="22"/>
      <w:numFmt w:val="decimal"/>
      <w:lvlText w:val="%1."/>
      <w:lvlJc w:val="left"/>
      <w:pPr>
        <w:ind w:left="360" w:hanging="360"/>
      </w:pPr>
      <w:rPr>
        <w:b/>
        <w:color w:val="00000A"/>
      </w:rPr>
    </w:lvl>
    <w:lvl w:ilvl="1">
      <w:start w:val="4"/>
      <w:numFmt w:val="decimal"/>
      <w:lvlText w:val="%1.%2."/>
      <w:lvlJc w:val="left"/>
      <w:pPr>
        <w:ind w:left="716" w:hanging="432"/>
      </w:pPr>
      <w:rPr>
        <w:dstrike w:val="false"/>
        <w:strike w:val="false"/>
        <w:i w:val="false"/>
        <w:b w:val="false"/>
        <w:color w:val="00000A"/>
      </w:rPr>
    </w:lvl>
    <w:lvl w:ilvl="2">
      <w:start w:val="1"/>
      <w:numFmt w:val="decimal"/>
      <w:lvlText w:val="%1.%2.%3."/>
      <w:lvlJc w:val="left"/>
      <w:pPr>
        <w:ind w:left="930" w:hanging="504"/>
      </w:pPr>
      <w:rPr>
        <w:i w:val="false"/>
        <w:b w:val="false"/>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lvl w:ilvl="0">
      <w:start w:val="1"/>
      <w:numFmt w:val="decimal"/>
      <w:lvlText w:val="%1."/>
      <w:lvlJc w:val="left"/>
      <w:pPr>
        <w:ind w:left="360" w:hanging="360"/>
      </w:pPr>
      <w:rPr>
        <w:b/>
        <w:color w:val="00000A"/>
      </w:rPr>
    </w:lvl>
    <w:lvl w:ilvl="1">
      <w:start w:val="1"/>
      <w:numFmt w:val="decimal"/>
      <w:lvlText w:val="%1.%2."/>
      <w:lvlJc w:val="left"/>
      <w:pPr>
        <w:ind w:left="716" w:hanging="432"/>
      </w:pPr>
      <w:rPr>
        <w:dstrike w:val="false"/>
        <w:strike w:val="false"/>
        <w:i w:val="false"/>
        <w:b w:val="false"/>
        <w:color w:val="00000A"/>
      </w:rPr>
    </w:lvl>
    <w:lvl w:ilvl="2">
      <w:start w:val="1"/>
      <w:numFmt w:val="decimal"/>
      <w:lvlText w:val="%1.%2.%3."/>
      <w:lvlJc w:val="left"/>
      <w:pPr>
        <w:ind w:left="930" w:hanging="504"/>
      </w:pPr>
      <w:rPr>
        <w:i w:val="false"/>
        <w:b w:val="false"/>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lvl w:ilvl="0">
      <w:start w:val="19"/>
      <w:numFmt w:val="decimal"/>
      <w:lvlText w:val="%1."/>
      <w:lvlJc w:val="left"/>
      <w:pPr>
        <w:ind w:left="360" w:hanging="360"/>
      </w:pPr>
    </w:lvl>
    <w:lvl w:ilvl="1">
      <w:start w:val="1"/>
      <w:numFmt w:val="decimal"/>
      <w:lvlText w:val="%1.%2."/>
      <w:lvlJc w:val="left"/>
      <w:pPr>
        <w:ind w:left="792" w:hanging="432"/>
      </w:pPr>
      <w:rPr>
        <w:i w:val="false"/>
        <w:b w:val="false"/>
      </w:rPr>
    </w:lvl>
    <w:lvl w:ilvl="2">
      <w:start w:val="1"/>
      <w:numFmt w:val="lowerLetter"/>
      <w:lvlText w:val="%3)"/>
      <w:lvlJc w:val="left"/>
      <w:pPr>
        <w:ind w:left="1224" w:hanging="504"/>
      </w:pPr>
      <w:rPr>
        <w:sz w:val="20"/>
        <w:b w:val="false"/>
        <w:rFonts w:ascii="Arial" w:hAnsi="Arial"/>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00"/>
  <w:mirrorMargins/>
  <w:defaultTabStop w:val="708"/>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de7070"/>
    <w:pPr>
      <w:widowControl/>
      <w:bidi w:val="0"/>
      <w:jc w:val="left"/>
    </w:pPr>
    <w:rPr>
      <w:rFonts w:ascii="Arial" w:hAnsi="Arial" w:cs="Tahoma" w:eastAsia="Times New Roman"/>
      <w:color w:val="auto"/>
      <w:kern w:val="0"/>
      <w:sz w:val="20"/>
      <w:szCs w:val="24"/>
      <w:lang w:val="pt-BR" w:eastAsia="pt-BR" w:bidi="ar-SA"/>
    </w:rPr>
  </w:style>
  <w:style w:type="paragraph" w:styleId="Ttulo1">
    <w:name w:val="Heading 1"/>
    <w:basedOn w:val="Normal"/>
    <w:next w:val="Normal"/>
    <w:link w:val="Ttulo1Char"/>
    <w:qFormat/>
    <w:rsid w:val="00de7070"/>
    <w:pPr>
      <w:keepNext w:val="true"/>
      <w:keepLines/>
      <w:spacing w:before="240" w:after="0"/>
      <w:outlineLvl w:val="0"/>
    </w:pPr>
    <w:rPr>
      <w:rFonts w:ascii="Cambria" w:hAnsi="Cambria" w:eastAsia="ＭＳ ゴシック" w:cs="Times New Roman" w:asciiTheme="majorHAnsi" w:cstheme="majorBidi" w:eastAsiaTheme="majorEastAsia" w:hAnsiTheme="majorHAnsi"/>
      <w:color w:val="365F91" w:themeColor="accent1" w:themeShade="bf"/>
      <w:sz w:val="32"/>
      <w:szCs w:val="32"/>
    </w:rPr>
  </w:style>
  <w:style w:type="paragraph" w:styleId="Ttulo2">
    <w:name w:val="Heading 2"/>
    <w:basedOn w:val="Normal"/>
    <w:next w:val="Normal"/>
    <w:link w:val="Ttulo2Char"/>
    <w:qFormat/>
    <w:rsid w:val="004b460a"/>
    <w:pPr>
      <w:keepNext w:val="true"/>
      <w:tabs>
        <w:tab w:val="left" w:pos="1701" w:leader="none"/>
      </w:tabs>
      <w:ind w:right="-1" w:hanging="0"/>
      <w:jc w:val="center"/>
      <w:outlineLvl w:val="1"/>
    </w:pPr>
    <w:rPr>
      <w:rFonts w:ascii="Times New Roman" w:hAnsi="Times New Roman" w:cs="Times New Roman"/>
      <w:b/>
      <w:color w:val="000000"/>
      <w:szCs w:val="20"/>
    </w:rPr>
  </w:style>
  <w:style w:type="character" w:styleId="DefaultParagraphFont" w:default="1">
    <w:name w:val="Default Paragraph Font"/>
    <w:uiPriority w:val="1"/>
    <w:semiHidden/>
    <w:unhideWhenUsed/>
    <w:qFormat/>
    <w:rPr/>
  </w:style>
  <w:style w:type="character" w:styleId="TextodebaloChar" w:customStyle="1">
    <w:name w:val="Texto de balão Char"/>
    <w:link w:val="Textodebalo"/>
    <w:qFormat/>
    <w:rsid w:val="003a73c1"/>
    <w:rPr>
      <w:rFonts w:ascii="Tahoma" w:hAnsi="Tahoma" w:cs="Tahoma"/>
      <w:sz w:val="16"/>
      <w:szCs w:val="16"/>
    </w:rPr>
  </w:style>
  <w:style w:type="character" w:styleId="Ttulo2Char" w:customStyle="1">
    <w:name w:val="Título 2 Char"/>
    <w:link w:val="Ttulo2"/>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name w:val="Link da Internet"/>
    <w:rsid w:val="00bf1a7f"/>
    <w:rPr>
      <w:color w:val="000080"/>
      <w:u w:val="single"/>
    </w:rPr>
  </w:style>
  <w:style w:type="character" w:styleId="CitaoChar" w:customStyle="1">
    <w:name w:val="Citação Char"/>
    <w:link w:val="Citao"/>
    <w:qFormat/>
    <w:rsid w:val="00c322f1"/>
    <w:rPr>
      <w:rFonts w:ascii="Ecofont_Spranq_eco_Sans" w:hAnsi="Ecofont_Spranq_eco_Sans" w:eastAsia="Calibri" w:cs="Tahoma"/>
      <w:i/>
      <w:iCs/>
      <w:color w:val="000000"/>
      <w:szCs w:val="24"/>
      <w:shd w:fill="FFFFCC" w:val="clear"/>
      <w:lang w:eastAsia="en-US"/>
    </w:rPr>
  </w:style>
  <w:style w:type="character" w:styleId="Citao2Char" w:customStyle="1">
    <w:name w:val="citação 2 Char"/>
    <w:basedOn w:val="CitaoChar"/>
    <w:link w:val="citao2"/>
    <w:qFormat/>
    <w:rsid w:val="000a23da"/>
    <w:rPr>
      <w:rFonts w:ascii="Ecofont_Spranq_eco_Sans" w:hAnsi="Ecofont_Spranq_eco_Sans" w:eastAsia="Calibri" w:cs="Tahoma"/>
      <w:i/>
      <w:iCs/>
      <w:color w:val="000000"/>
      <w:szCs w:val="24"/>
      <w:shd w:fill="FFFFCC" w:val="clear"/>
      <w:lang w:eastAsia="en-US"/>
    </w:rPr>
  </w:style>
  <w:style w:type="character" w:styleId="GradeColoridanfase1Char" w:customStyle="1">
    <w:name w:val="Grade Colorida - Ênfase 1 Char"/>
    <w:link w:val="GradeColorida-nfase11"/>
    <w:uiPriority w:val="29"/>
    <w:qFormat/>
    <w:rsid w:val="00821b3a"/>
    <w:rPr>
      <w:rFonts w:ascii="Ecofont_Spranq_eco_Sans" w:hAnsi="Ecofont_Spranq_eco_Sans" w:eastAsia="Calibri"/>
      <w:i/>
      <w:iCs/>
      <w:color w:val="000000"/>
      <w:szCs w:val="24"/>
      <w:shd w:fill="FFFFCC" w:val="clear"/>
      <w:lang w:val="x-none" w:eastAsia="en-US"/>
    </w:rPr>
  </w:style>
  <w:style w:type="character" w:styleId="CabealhoChar" w:customStyle="1">
    <w:name w:val="Cabeçalho Char"/>
    <w:basedOn w:val="DefaultParagraphFont"/>
    <w:link w:val="Cabealho"/>
    <w:qFormat/>
    <w:rsid w:val="00a3644b"/>
    <w:rPr>
      <w:rFonts w:ascii="Ecofont_Spranq_eco_Sans" w:hAnsi="Ecofont_Spranq_eco_Sans" w:cs="Tahoma"/>
      <w:sz w:val="24"/>
      <w:szCs w:val="24"/>
    </w:rPr>
  </w:style>
  <w:style w:type="character" w:styleId="RodapChar" w:customStyle="1">
    <w:name w:val="Rodapé Char"/>
    <w:basedOn w:val="DefaultParagraphFont"/>
    <w:link w:val="Rodap"/>
    <w:uiPriority w:val="99"/>
    <w:qFormat/>
    <w:rsid w:val="00a3644b"/>
    <w:rPr>
      <w:rFonts w:ascii="Ecofont_Spranq_eco_Sans" w:hAnsi="Ecofont_Spranq_eco_Sans" w:cs="Tahoma"/>
      <w:sz w:val="24"/>
      <w:szCs w:val="24"/>
    </w:rPr>
  </w:style>
  <w:style w:type="character" w:styleId="Ttulo1Char" w:customStyle="1">
    <w:name w:val="Título 1 Char"/>
    <w:basedOn w:val="DefaultParagraphFont"/>
    <w:link w:val="Ttulo1"/>
    <w:qFormat/>
    <w:rsid w:val="00de7070"/>
    <w:rPr>
      <w:rFonts w:ascii="Cambria" w:hAnsi="Cambria" w:eastAsia="ＭＳ ゴシック" w:cs="Times New Roman" w:asciiTheme="majorHAnsi" w:cstheme="majorBidi" w:eastAsiaTheme="majorEastAsia" w:hAnsiTheme="majorHAnsi"/>
      <w:color w:val="365F91" w:themeColor="accent1" w:themeShade="bf"/>
      <w:sz w:val="32"/>
      <w:szCs w:val="32"/>
    </w:rPr>
  </w:style>
  <w:style w:type="character" w:styleId="Nivel1Char" w:customStyle="1">
    <w:name w:val="Nivel1 Char"/>
    <w:basedOn w:val="Ttulo1Char"/>
    <w:link w:val="Nivel1"/>
    <w:qFormat/>
    <w:rsid w:val="00de7070"/>
    <w:rPr>
      <w:rFonts w:ascii="Arial" w:hAnsi="Arial" w:eastAsia="ＭＳ ゴシック" w:cs="Arial" w:eastAsiaTheme="majorEastAsia"/>
      <w:b/>
      <w:color w:val="000000"/>
      <w:sz w:val="32"/>
      <w:szCs w:val="32"/>
    </w:rPr>
  </w:style>
  <w:style w:type="character" w:styleId="Annotationreference">
    <w:name w:val="annotation reference"/>
    <w:basedOn w:val="DefaultParagraphFont"/>
    <w:semiHidden/>
    <w:unhideWhenUsed/>
    <w:qFormat/>
    <w:rsid w:val="00453b1d"/>
    <w:rPr>
      <w:sz w:val="18"/>
      <w:szCs w:val="18"/>
    </w:rPr>
  </w:style>
  <w:style w:type="character" w:styleId="TextodecomentrioChar" w:customStyle="1">
    <w:name w:val="Texto de comentário Char"/>
    <w:basedOn w:val="DefaultParagraphFont"/>
    <w:link w:val="Textodecomentrio"/>
    <w:qFormat/>
    <w:rsid w:val="00453b1d"/>
    <w:rPr>
      <w:rFonts w:ascii="Arial" w:hAnsi="Arial" w:cs="Tahoma"/>
      <w:sz w:val="24"/>
      <w:szCs w:val="24"/>
    </w:rPr>
  </w:style>
  <w:style w:type="character" w:styleId="AssuntodocomentrioChar" w:customStyle="1">
    <w:name w:val="Assunto do comentário Char"/>
    <w:basedOn w:val="TextodecomentrioChar"/>
    <w:link w:val="Assuntodocomentrio"/>
    <w:semiHidden/>
    <w:qFormat/>
    <w:rsid w:val="005e4cdc"/>
    <w:rPr>
      <w:rFonts w:ascii="Arial" w:hAnsi="Arial" w:cs="Tahoma"/>
      <w:b/>
      <w:bCs/>
      <w:sz w:val="24"/>
      <w:szCs w:val="24"/>
    </w:rPr>
  </w:style>
  <w:style w:type="character" w:styleId="Nivel01Char" w:customStyle="1">
    <w:name w:val="Nivel 01 Char"/>
    <w:basedOn w:val="DefaultParagraphFont"/>
    <w:link w:val="Nivel01"/>
    <w:qFormat/>
    <w:rsid w:val="00563cba"/>
    <w:rPr>
      <w:rFonts w:ascii="Ecofont_Spranq_eco_Sans" w:hAnsi="Ecofont_Spranq_eco_Sans" w:eastAsia="ＭＳ ゴシック" w:eastAsiaTheme="majorEastAsia"/>
      <w:b/>
      <w:bCs/>
      <w:color w:val="000000"/>
    </w:rPr>
  </w:style>
  <w:style w:type="character" w:styleId="Nivel01Char1" w:customStyle="1">
    <w:name w:val="Nivel_01 Char"/>
    <w:basedOn w:val="Ttulo1Char"/>
    <w:link w:val="Nivel010"/>
    <w:qFormat/>
    <w:rsid w:val="00d37dc8"/>
    <w:rPr>
      <w:rFonts w:ascii="Ecofont_Spranq_eco_Sans" w:hAnsi="Ecofont_Spranq_eco_Sans" w:eastAsia="ＭＳ ゴシック" w:cs="Times New Roman" w:cstheme="majorBidi" w:eastAsiaTheme="majorEastAsia"/>
      <w:b/>
      <w:bCs/>
      <w:color w:val="365F91" w:themeColor="accent1" w:themeShade="bf"/>
      <w:sz w:val="32"/>
      <w:szCs w:val="32"/>
    </w:rPr>
  </w:style>
  <w:style w:type="character" w:styleId="Strong">
    <w:name w:val="Strong"/>
    <w:basedOn w:val="DefaultParagraphFont"/>
    <w:uiPriority w:val="22"/>
    <w:qFormat/>
    <w:rsid w:val="00520bcd"/>
    <w:rPr>
      <w:b/>
      <w:bCs/>
    </w:rPr>
  </w:style>
  <w:style w:type="character" w:styleId="Nfase">
    <w:name w:val="Ênfase"/>
    <w:basedOn w:val="DefaultParagraphFont"/>
    <w:uiPriority w:val="20"/>
    <w:qFormat/>
    <w:rsid w:val="00520bcd"/>
    <w:rPr>
      <w:i/>
      <w:iCs/>
    </w:rPr>
  </w:style>
  <w:style w:type="character" w:styleId="Nivel2Char" w:customStyle="1">
    <w:name w:val="Nivel 2 Char"/>
    <w:basedOn w:val="DefaultParagraphFont"/>
    <w:link w:val="Nivel2"/>
    <w:qFormat/>
    <w:rsid w:val="00210b85"/>
    <w:rPr>
      <w:rFonts w:ascii="Ecofont_Spranq_eco_Sans" w:hAnsi="Ecofont_Spranq_eco_Sans" w:eastAsia="Arial Unicode MS"/>
    </w:rPr>
  </w:style>
  <w:style w:type="character" w:styleId="QuoteChar" w:customStyle="1">
    <w:name w:val="Quote Char"/>
    <w:link w:val="Citao1"/>
    <w:qFormat/>
    <w:rsid w:val="0039126b"/>
    <w:rPr>
      <w:rFonts w:ascii="Ecofont_Spranq_eco_Sans" w:hAnsi="Ecofont_Spranq_eco_Sans" w:cs="Ecofont_Spranq_eco_Sans"/>
      <w:i/>
      <w:iCs/>
      <w:color w:val="000000"/>
      <w:sz w:val="24"/>
      <w:szCs w:val="24"/>
      <w:shd w:fill="FFFFCC" w:val="clear"/>
      <w:lang w:eastAsia="en-US"/>
    </w:rPr>
  </w:style>
  <w:style w:type="character" w:styleId="Appleconvertedspace" w:customStyle="1">
    <w:name w:val="apple-converted-space"/>
    <w:basedOn w:val="DefaultParagraphFont"/>
    <w:qFormat/>
    <w:rsid w:val="00f108db"/>
    <w:rPr/>
  </w:style>
  <w:style w:type="character" w:styleId="Scaytmisspellword" w:customStyle="1">
    <w:name w:val="scayt-misspell-word"/>
    <w:basedOn w:val="DefaultParagraphFont"/>
    <w:qFormat/>
    <w:rsid w:val="00471331"/>
    <w:rPr/>
  </w:style>
  <w:style w:type="character" w:styleId="CorpodetextoChar" w:customStyle="1">
    <w:name w:val="Corpo de texto Char"/>
    <w:basedOn w:val="DefaultParagraphFont"/>
    <w:link w:val="Corpodetexto"/>
    <w:uiPriority w:val="1"/>
    <w:qFormat/>
    <w:rsid w:val="00183a27"/>
    <w:rPr>
      <w:sz w:val="24"/>
      <w:szCs w:val="24"/>
      <w:lang w:val="pt-PT" w:eastAsia="en-US"/>
    </w:rPr>
  </w:style>
  <w:style w:type="character" w:styleId="ListLabel1">
    <w:name w:val="ListLabel 1"/>
    <w:qFormat/>
    <w:rPr>
      <w:b/>
      <w:color w:val="00000A"/>
    </w:rPr>
  </w:style>
  <w:style w:type="character" w:styleId="ListLabel2">
    <w:name w:val="ListLabel 2"/>
    <w:qFormat/>
    <w:rPr>
      <w:b w:val="false"/>
      <w:i w:val="false"/>
      <w:strike w:val="false"/>
      <w:dstrike w:val="false"/>
      <w:color w:val="00000A"/>
    </w:rPr>
  </w:style>
  <w:style w:type="character" w:styleId="ListLabel3">
    <w:name w:val="ListLabel 3"/>
    <w:qFormat/>
    <w:rPr>
      <w:b w:val="false"/>
      <w:i w:val="false"/>
      <w:color w:val="00000A"/>
    </w:rPr>
  </w:style>
  <w:style w:type="character" w:styleId="ListLabel4">
    <w:name w:val="ListLabel 4"/>
    <w:qFormat/>
    <w:rPr>
      <w:b/>
      <w:i w:val="false"/>
      <w:strike w:val="false"/>
      <w:dstrike w:val="false"/>
    </w:rPr>
  </w:style>
  <w:style w:type="character" w:styleId="ListLabel5">
    <w:name w:val="ListLabel 5"/>
    <w:qFormat/>
    <w:rPr>
      <w:rFonts w:ascii="Arial" w:hAnsi="Arial"/>
      <w:b w:val="false"/>
      <w:strike w:val="false"/>
      <w:dstrike w:val="false"/>
    </w:rPr>
  </w:style>
  <w:style w:type="character" w:styleId="ListLabel6">
    <w:name w:val="ListLabel 6"/>
    <w:qFormat/>
    <w:rPr>
      <w:i w:val="false"/>
      <w:strike w:val="false"/>
      <w:dstrike w:val="false"/>
    </w:rPr>
  </w:style>
  <w:style w:type="character" w:styleId="ListLabel7">
    <w:name w:val="ListLabel 7"/>
    <w:qFormat/>
    <w:rPr>
      <w:b/>
      <w:color w:val="00000A"/>
    </w:rPr>
  </w:style>
  <w:style w:type="character" w:styleId="ListLabel8">
    <w:name w:val="ListLabel 8"/>
    <w:qFormat/>
    <w:rPr>
      <w:b w:val="false"/>
      <w:i w:val="false"/>
      <w:strike w:val="false"/>
      <w:dstrike w:val="false"/>
      <w:color w:val="00000A"/>
    </w:rPr>
  </w:style>
  <w:style w:type="character" w:styleId="ListLabel9">
    <w:name w:val="ListLabel 9"/>
    <w:qFormat/>
    <w:rPr>
      <w:b w:val="false"/>
      <w:i w:val="false"/>
      <w:color w:val="00000A"/>
    </w:rPr>
  </w:style>
  <w:style w:type="character" w:styleId="ListLabel10">
    <w:name w:val="ListLabel 10"/>
    <w:qFormat/>
    <w:rPr>
      <w:b/>
      <w:color w:val="00000A"/>
    </w:rPr>
  </w:style>
  <w:style w:type="character" w:styleId="ListLabel11">
    <w:name w:val="ListLabel 11"/>
    <w:qFormat/>
    <w:rPr>
      <w:b w:val="false"/>
      <w:i w:val="false"/>
      <w:strike w:val="false"/>
      <w:dstrike w:val="false"/>
      <w:color w:val="00000A"/>
    </w:rPr>
  </w:style>
  <w:style w:type="character" w:styleId="ListLabel12">
    <w:name w:val="ListLabel 12"/>
    <w:qFormat/>
    <w:rPr>
      <w:b w:val="false"/>
      <w:i w:val="false"/>
      <w:color w:val="00000A"/>
    </w:rPr>
  </w:style>
  <w:style w:type="character" w:styleId="ListLabel13">
    <w:name w:val="ListLabel 13"/>
    <w:qFormat/>
    <w:rPr>
      <w:b w:val="false"/>
      <w:i w:val="false"/>
      <w:sz w:val="18"/>
      <w:szCs w:val="18"/>
    </w:rPr>
  </w:style>
  <w:style w:type="character" w:styleId="ListLabel14">
    <w:name w:val="ListLabel 14"/>
    <w:qFormat/>
    <w:rPr>
      <w:b/>
      <w:color w:val="00000A"/>
    </w:rPr>
  </w:style>
  <w:style w:type="character" w:styleId="ListLabel15">
    <w:name w:val="ListLabel 15"/>
    <w:qFormat/>
    <w:rPr>
      <w:b w:val="false"/>
      <w:i w:val="false"/>
      <w:strike w:val="false"/>
      <w:dstrike w:val="false"/>
      <w:color w:val="00000A"/>
    </w:rPr>
  </w:style>
  <w:style w:type="character" w:styleId="ListLabel16">
    <w:name w:val="ListLabel 16"/>
    <w:qFormat/>
    <w:rPr>
      <w:b w:val="false"/>
      <w:i w:val="false"/>
      <w:color w:val="00000A"/>
    </w:rPr>
  </w:style>
  <w:style w:type="character" w:styleId="ListLabel17">
    <w:name w:val="ListLabel 17"/>
    <w:qFormat/>
    <w:rPr>
      <w:b/>
      <w:color w:val="00000A"/>
    </w:rPr>
  </w:style>
  <w:style w:type="character" w:styleId="ListLabel18">
    <w:name w:val="ListLabel 18"/>
    <w:qFormat/>
    <w:rPr>
      <w:b w:val="false"/>
      <w:i w:val="false"/>
      <w:strike w:val="false"/>
      <w:dstrike w:val="false"/>
      <w:color w:val="00000A"/>
    </w:rPr>
  </w:style>
  <w:style w:type="character" w:styleId="ListLabel19">
    <w:name w:val="ListLabel 19"/>
    <w:qFormat/>
    <w:rPr>
      <w:b w:val="false"/>
      <w:i w:val="false"/>
      <w:color w:val="00000A"/>
    </w:rPr>
  </w:style>
  <w:style w:type="character" w:styleId="ListLabel20">
    <w:name w:val="ListLabel 20"/>
    <w:qFormat/>
    <w:rPr>
      <w:b/>
      <w:color w:val="00000A"/>
    </w:rPr>
  </w:style>
  <w:style w:type="character" w:styleId="ListLabel21">
    <w:name w:val="ListLabel 21"/>
    <w:qFormat/>
    <w:rPr>
      <w:b w:val="false"/>
      <w:i w:val="false"/>
      <w:strike w:val="false"/>
      <w:dstrike w:val="false"/>
      <w:color w:val="00000A"/>
    </w:rPr>
  </w:style>
  <w:style w:type="character" w:styleId="ListLabel22">
    <w:name w:val="ListLabel 22"/>
    <w:qFormat/>
    <w:rPr>
      <w:b w:val="false"/>
      <w:i w:val="false"/>
      <w:color w:val="00000A"/>
    </w:rPr>
  </w:style>
  <w:style w:type="character" w:styleId="ListLabel23">
    <w:name w:val="ListLabel 23"/>
    <w:qFormat/>
    <w:rPr>
      <w:b/>
      <w:color w:val="00000A"/>
    </w:rPr>
  </w:style>
  <w:style w:type="character" w:styleId="ListLabel24">
    <w:name w:val="ListLabel 24"/>
    <w:qFormat/>
    <w:rPr>
      <w:b w:val="false"/>
      <w:i w:val="false"/>
      <w:strike w:val="false"/>
      <w:dstrike w:val="false"/>
      <w:color w:val="00000A"/>
    </w:rPr>
  </w:style>
  <w:style w:type="character" w:styleId="ListLabel25">
    <w:name w:val="ListLabel 25"/>
    <w:qFormat/>
    <w:rPr>
      <w:b w:val="false"/>
      <w:i w:val="false"/>
      <w:color w:val="00000A"/>
    </w:rPr>
  </w:style>
  <w:style w:type="character" w:styleId="ListLabel26">
    <w:name w:val="ListLabel 26"/>
    <w:qFormat/>
    <w:rPr>
      <w:b/>
      <w:color w:val="00000A"/>
    </w:rPr>
  </w:style>
  <w:style w:type="character" w:styleId="ListLabel27">
    <w:name w:val="ListLabel 27"/>
    <w:qFormat/>
    <w:rPr>
      <w:b w:val="false"/>
      <w:i w:val="false"/>
      <w:strike w:val="false"/>
      <w:dstrike w:val="false"/>
      <w:color w:val="00000A"/>
    </w:rPr>
  </w:style>
  <w:style w:type="character" w:styleId="ListLabel28">
    <w:name w:val="ListLabel 28"/>
    <w:qFormat/>
    <w:rPr>
      <w:b w:val="false"/>
      <w:i w:val="false"/>
      <w:color w:val="00000A"/>
    </w:rPr>
  </w:style>
  <w:style w:type="character" w:styleId="ListLabel29">
    <w:name w:val="ListLabel 29"/>
    <w:qFormat/>
    <w:rPr>
      <w:rFonts w:cs="Arial"/>
      <w:color w:val="000000"/>
    </w:rPr>
  </w:style>
  <w:style w:type="character" w:styleId="ListLabel30">
    <w:name w:val="ListLabel 30"/>
    <w:qFormat/>
    <w:rPr>
      <w:rFonts w:cs="Arial"/>
      <w:color w:val="000000"/>
    </w:rPr>
  </w:style>
  <w:style w:type="character" w:styleId="ListLabel31">
    <w:name w:val="ListLabel 31"/>
    <w:qFormat/>
    <w:rPr>
      <w:rFonts w:cs="Arial"/>
      <w:color w:val="000000"/>
    </w:rPr>
  </w:style>
  <w:style w:type="character" w:styleId="ListLabel32">
    <w:name w:val="ListLabel 32"/>
    <w:qFormat/>
    <w:rPr>
      <w:rFonts w:cs="Arial"/>
      <w:color w:val="000000"/>
    </w:rPr>
  </w:style>
  <w:style w:type="character" w:styleId="ListLabel33">
    <w:name w:val="ListLabel 33"/>
    <w:qFormat/>
    <w:rPr>
      <w:rFonts w:cs="Arial"/>
      <w:color w:val="000000"/>
    </w:rPr>
  </w:style>
  <w:style w:type="character" w:styleId="ListLabel34">
    <w:name w:val="ListLabel 34"/>
    <w:qFormat/>
    <w:rPr>
      <w:rFonts w:cs="Arial"/>
      <w:color w:val="000000"/>
    </w:rPr>
  </w:style>
  <w:style w:type="character" w:styleId="ListLabel35">
    <w:name w:val="ListLabel 35"/>
    <w:qFormat/>
    <w:rPr>
      <w:rFonts w:cs="Arial"/>
      <w:color w:val="000000"/>
    </w:rPr>
  </w:style>
  <w:style w:type="character" w:styleId="ListLabel36">
    <w:name w:val="ListLabel 36"/>
    <w:qFormat/>
    <w:rPr>
      <w:rFonts w:cs="Arial"/>
      <w:color w:val="000000"/>
    </w:rPr>
  </w:style>
  <w:style w:type="character" w:styleId="ListLabel37">
    <w:name w:val="ListLabel 37"/>
    <w:qFormat/>
    <w:rPr>
      <w:rFonts w:cs="Arial"/>
      <w:color w:val="000000"/>
    </w:rPr>
  </w:style>
  <w:style w:type="character" w:styleId="ListLabel38">
    <w:name w:val="ListLabel 38"/>
    <w:qFormat/>
    <w:rPr>
      <w:b/>
      <w:color w:val="00000A"/>
    </w:rPr>
  </w:style>
  <w:style w:type="character" w:styleId="ListLabel39">
    <w:name w:val="ListLabel 39"/>
    <w:qFormat/>
    <w:rPr>
      <w:b w:val="false"/>
      <w:i w:val="false"/>
      <w:strike w:val="false"/>
      <w:dstrike w:val="false"/>
      <w:color w:val="00000A"/>
    </w:rPr>
  </w:style>
  <w:style w:type="character" w:styleId="ListLabel40">
    <w:name w:val="ListLabel 40"/>
    <w:qFormat/>
    <w:rPr>
      <w:b w:val="false"/>
      <w:i w:val="false"/>
      <w:color w:val="00000A"/>
    </w:rPr>
  </w:style>
  <w:style w:type="character" w:styleId="ListLabel41">
    <w:name w:val="ListLabel 41"/>
    <w:qFormat/>
    <w:rPr>
      <w:b/>
      <w:color w:val="00000A"/>
    </w:rPr>
  </w:style>
  <w:style w:type="character" w:styleId="ListLabel42">
    <w:name w:val="ListLabel 42"/>
    <w:qFormat/>
    <w:rPr>
      <w:b w:val="false"/>
      <w:i w:val="false"/>
      <w:strike w:val="false"/>
      <w:dstrike w:val="false"/>
      <w:color w:val="00000A"/>
    </w:rPr>
  </w:style>
  <w:style w:type="character" w:styleId="ListLabel43">
    <w:name w:val="ListLabel 43"/>
    <w:qFormat/>
    <w:rPr>
      <w:b w:val="false"/>
      <w:i w:val="false"/>
      <w:color w:val="00000A"/>
    </w:rPr>
  </w:style>
  <w:style w:type="character" w:styleId="ListLabel44">
    <w:name w:val="ListLabel 44"/>
    <w:qFormat/>
    <w:rPr>
      <w:b w:val="false"/>
      <w:i w:val="false"/>
    </w:rPr>
  </w:style>
  <w:style w:type="character" w:styleId="ListLabel45">
    <w:name w:val="ListLabel 45"/>
    <w:qFormat/>
    <w:rPr>
      <w:b w:val="false"/>
    </w:rPr>
  </w:style>
  <w:style w:type="character" w:styleId="ListLabel46">
    <w:name w:val="ListLabel 46"/>
    <w:qFormat/>
    <w:rPr>
      <w:b/>
      <w:color w:val="00000A"/>
    </w:rPr>
  </w:style>
  <w:style w:type="character" w:styleId="ListLabel47">
    <w:name w:val="ListLabel 47"/>
    <w:qFormat/>
    <w:rPr>
      <w:b w:val="false"/>
      <w:i w:val="false"/>
      <w:strike w:val="false"/>
      <w:dstrike w:val="false"/>
      <w:color w:val="00000A"/>
    </w:rPr>
  </w:style>
  <w:style w:type="character" w:styleId="ListLabel48">
    <w:name w:val="ListLabel 48"/>
    <w:qFormat/>
    <w:rPr>
      <w:b w:val="false"/>
      <w:i w:val="false"/>
      <w:color w:val="00000A"/>
    </w:rPr>
  </w:style>
  <w:style w:type="character" w:styleId="ListLabel49">
    <w:name w:val="ListLabel 49"/>
    <w:qFormat/>
    <w:rPr>
      <w:b/>
      <w:color w:val="00000A"/>
    </w:rPr>
  </w:style>
  <w:style w:type="character" w:styleId="ListLabel50">
    <w:name w:val="ListLabel 50"/>
    <w:qFormat/>
    <w:rPr>
      <w:b w:val="false"/>
      <w:i w:val="false"/>
      <w:strike w:val="false"/>
      <w:dstrike w:val="false"/>
      <w:color w:val="00000A"/>
    </w:rPr>
  </w:style>
  <w:style w:type="character" w:styleId="ListLabel51">
    <w:name w:val="ListLabel 51"/>
    <w:qFormat/>
    <w:rPr>
      <w:b w:val="false"/>
      <w:i w:val="false"/>
      <w:color w:val="00000A"/>
    </w:rPr>
  </w:style>
  <w:style w:type="character" w:styleId="ListLabel52">
    <w:name w:val="ListLabel 52"/>
    <w:qFormat/>
    <w:rPr>
      <w:b/>
      <w:color w:val="00000A"/>
    </w:rPr>
  </w:style>
  <w:style w:type="character" w:styleId="ListLabel53">
    <w:name w:val="ListLabel 53"/>
    <w:qFormat/>
    <w:rPr>
      <w:b w:val="false"/>
      <w:i w:val="false"/>
      <w:strike w:val="false"/>
      <w:dstrike w:val="false"/>
      <w:color w:val="00000A"/>
    </w:rPr>
  </w:style>
  <w:style w:type="character" w:styleId="ListLabel54">
    <w:name w:val="ListLabel 54"/>
    <w:qFormat/>
    <w:rPr>
      <w:b w:val="false"/>
      <w:i w:val="false"/>
      <w:color w:val="00000A"/>
    </w:rPr>
  </w:style>
  <w:style w:type="character" w:styleId="ListLabel55">
    <w:name w:val="ListLabel 55"/>
    <w:qFormat/>
    <w:rPr>
      <w:b w:val="false"/>
      <w:i w:val="false"/>
    </w:rPr>
  </w:style>
  <w:style w:type="character" w:styleId="ListLabel56">
    <w:name w:val="ListLabel 56"/>
    <w:qFormat/>
    <w:rPr>
      <w:rFonts w:ascii="Arial" w:hAnsi="Arial"/>
      <w:b w:val="false"/>
      <w:sz w:val="20"/>
    </w:rPr>
  </w:style>
  <w:style w:type="character" w:styleId="ListLabel57">
    <w:name w:val="ListLabel 57"/>
    <w:qFormat/>
    <w:rPr>
      <w:b/>
      <w:color w:val="00000A"/>
    </w:rPr>
  </w:style>
  <w:style w:type="character" w:styleId="ListLabel58">
    <w:name w:val="ListLabel 58"/>
    <w:qFormat/>
    <w:rPr>
      <w:b w:val="false"/>
      <w:i w:val="false"/>
      <w:strike w:val="false"/>
      <w:dstrike w:val="false"/>
      <w:color w:val="00000A"/>
    </w:rPr>
  </w:style>
  <w:style w:type="character" w:styleId="ListLabel59">
    <w:name w:val="ListLabel 59"/>
    <w:qFormat/>
    <w:rPr>
      <w:b w:val="false"/>
      <w:i w:val="false"/>
      <w:color w:val="00000A"/>
    </w:rPr>
  </w:style>
  <w:style w:type="character" w:styleId="ListLabel60">
    <w:name w:val="ListLabel 60"/>
    <w:qFormat/>
    <w:rPr>
      <w:rFonts w:cs="Times New Roman"/>
      <w:b/>
    </w:rPr>
  </w:style>
  <w:style w:type="character" w:styleId="ListLabel61">
    <w:name w:val="ListLabel 61"/>
    <w:qFormat/>
    <w:rPr>
      <w:rFonts w:cs="Times New Roman"/>
      <w:b w:val="false"/>
      <w:i w:val="false"/>
      <w:color w:val="00000A"/>
    </w:rPr>
  </w:style>
  <w:style w:type="character" w:styleId="ListLabel62">
    <w:name w:val="ListLabel 62"/>
    <w:qFormat/>
    <w:rPr>
      <w:rFonts w:cs="Times New Roman"/>
      <w:b w:val="false"/>
      <w:i w:val="false"/>
      <w:color w:val="00000A"/>
    </w:rPr>
  </w:style>
  <w:style w:type="character" w:styleId="ListLabel63">
    <w:name w:val="ListLabel 63"/>
    <w:qFormat/>
    <w:rPr>
      <w:rFonts w:cs="Arial"/>
      <w:sz w:val="20"/>
      <w:szCs w:val="20"/>
    </w:rPr>
  </w:style>
  <w:style w:type="character" w:styleId="ListLabel64">
    <w:name w:val="ListLabel 64"/>
    <w:qFormat/>
    <w:rPr>
      <w:b/>
      <w:color w:val="00000A"/>
    </w:rPr>
  </w:style>
  <w:style w:type="character" w:styleId="ListLabel65">
    <w:name w:val="ListLabel 65"/>
    <w:qFormat/>
    <w:rPr>
      <w:b/>
      <w:i w:val="false"/>
      <w:strike w:val="false"/>
      <w:dstrike w:val="false"/>
      <w:color w:val="00000A"/>
    </w:rPr>
  </w:style>
  <w:style w:type="character" w:styleId="ListLabel66">
    <w:name w:val="ListLabel 66"/>
    <w:qFormat/>
    <w:rPr>
      <w:b/>
      <w:i w:val="false"/>
      <w:color w:val="00000A"/>
    </w:rPr>
  </w:style>
  <w:style w:type="character" w:styleId="ListLabel67">
    <w:name w:val="ListLabel 67"/>
    <w:qFormat/>
    <w:rPr>
      <w:rFonts w:cs="Times New Roman"/>
      <w:b/>
    </w:rPr>
  </w:style>
  <w:style w:type="character" w:styleId="ListLabel68">
    <w:name w:val="ListLabel 68"/>
    <w:qFormat/>
    <w:rPr>
      <w:rFonts w:cs="Times New Roman"/>
      <w:b w:val="false"/>
      <w:i w:val="false"/>
      <w:color w:val="00000A"/>
    </w:rPr>
  </w:style>
  <w:style w:type="character" w:styleId="ListLabel69">
    <w:name w:val="ListLabel 69"/>
    <w:qFormat/>
    <w:rPr>
      <w:rFonts w:cs="Times New Roman"/>
      <w:b w:val="false"/>
      <w:i w:val="false"/>
      <w:color w:val="00000A"/>
    </w:rPr>
  </w:style>
  <w:style w:type="character" w:styleId="ListLabel70">
    <w:name w:val="ListLabel 70"/>
    <w:qFormat/>
    <w:rPr>
      <w:rFonts w:cs="Arial"/>
      <w:sz w:val="20"/>
      <w:szCs w:val="20"/>
    </w:rPr>
  </w:style>
  <w:style w:type="character" w:styleId="ListLabel71">
    <w:name w:val="ListLabel 71"/>
    <w:qFormat/>
    <w:rPr>
      <w:rFonts w:cs="Times New Roman"/>
      <w:b/>
      <w:color w:val="000000"/>
      <w:sz w:val="24"/>
      <w:szCs w:val="24"/>
    </w:rPr>
  </w:style>
  <w:style w:type="character" w:styleId="ListLabel72">
    <w:name w:val="ListLabel 72"/>
    <w:qFormat/>
    <w:rPr>
      <w:rFonts w:cs="Arial"/>
      <w:b/>
      <w:bCs/>
      <w:i w:val="false"/>
      <w:strike w:val="false"/>
      <w:dstrike w:val="false"/>
      <w:color w:val="000000"/>
      <w:sz w:val="20"/>
      <w:szCs w:val="20"/>
      <w:lang w:eastAsia="en-US"/>
    </w:rPr>
  </w:style>
  <w:style w:type="character" w:styleId="ListLabel73">
    <w:name w:val="ListLabel 73"/>
    <w:qFormat/>
    <w:rPr>
      <w:rFonts w:cs="Arial"/>
      <w:b/>
      <w:i w:val="false"/>
      <w:color w:val="000000"/>
      <w:sz w:val="20"/>
      <w:szCs w:val="20"/>
    </w:rPr>
  </w:style>
  <w:style w:type="character" w:styleId="ListLabel74">
    <w:name w:val="ListLabel 74"/>
    <w:qFormat/>
    <w:rPr>
      <w:rFonts w:cs="Times New Roman"/>
      <w:b/>
      <w:sz w:val="24"/>
    </w:rPr>
  </w:style>
  <w:style w:type="character" w:styleId="ListLabel75">
    <w:name w:val="ListLabel 75"/>
    <w:qFormat/>
    <w:rPr>
      <w:rFonts w:cs="Times New Roman"/>
      <w:b/>
      <w:sz w:val="24"/>
    </w:rPr>
  </w:style>
  <w:style w:type="character" w:styleId="ListLabel76">
    <w:name w:val="ListLabel 76"/>
    <w:qFormat/>
    <w:rPr>
      <w:rFonts w:cs="Times New Roman"/>
      <w:b/>
      <w:sz w:val="24"/>
    </w:rPr>
  </w:style>
  <w:style w:type="character" w:styleId="ListLabel77">
    <w:name w:val="ListLabel 77"/>
    <w:qFormat/>
    <w:rPr>
      <w:sz w:val="24"/>
      <w:szCs w:val="24"/>
    </w:rPr>
  </w:style>
  <w:style w:type="character" w:styleId="ListLabel78">
    <w:name w:val="ListLabel 78"/>
    <w:qFormat/>
    <w:rPr>
      <w:sz w:val="24"/>
      <w:szCs w:val="24"/>
    </w:rPr>
  </w:style>
  <w:style w:type="character" w:styleId="ListLabel79">
    <w:name w:val="ListLabel 79"/>
    <w:qFormat/>
    <w:rPr>
      <w:sz w:val="24"/>
      <w:szCs w:val="24"/>
    </w:rPr>
  </w:style>
  <w:style w:type="character" w:styleId="ListLabel80">
    <w:name w:val="ListLabel 80"/>
    <w:qFormat/>
    <w:rPr>
      <w:sz w:val="24"/>
      <w:szCs w:val="24"/>
    </w:rPr>
  </w:style>
  <w:style w:type="paragraph" w:styleId="Ttulo">
    <w:name w:val="Título"/>
    <w:basedOn w:val="Normal"/>
    <w:next w:val="Corpodetexto"/>
    <w:qFormat/>
    <w:pPr>
      <w:keepNext w:val="true"/>
      <w:spacing w:before="240" w:after="120"/>
    </w:pPr>
    <w:rPr>
      <w:rFonts w:ascii="Liberation Sans" w:hAnsi="Liberation Sans" w:eastAsia="Microsoft YaHei" w:cs="Arial Unicode MS"/>
      <w:sz w:val="28"/>
      <w:szCs w:val="28"/>
    </w:rPr>
  </w:style>
  <w:style w:type="paragraph" w:styleId="Corpodetexto">
    <w:name w:val="Body Text"/>
    <w:basedOn w:val="Normal"/>
    <w:link w:val="CorpodetextoChar"/>
    <w:uiPriority w:val="1"/>
    <w:qFormat/>
    <w:rsid w:val="00183a27"/>
    <w:pPr>
      <w:widowControl w:val="false"/>
      <w:jc w:val="both"/>
    </w:pPr>
    <w:rPr>
      <w:rFonts w:ascii="Times New Roman" w:hAnsi="Times New Roman" w:cs="Times New Roman"/>
      <w:sz w:val="24"/>
      <w:lang w:val="pt-PT" w:eastAsia="en-US"/>
    </w:rPr>
  </w:style>
  <w:style w:type="paragraph" w:styleId="Lista">
    <w:name w:val="List"/>
    <w:basedOn w:val="Corpodetexto"/>
    <w:pPr/>
    <w:rPr>
      <w:rFonts w:cs="Arial Unicode MS"/>
    </w:rPr>
  </w:style>
  <w:style w:type="paragraph" w:styleId="Legenda">
    <w:name w:val="Caption"/>
    <w:basedOn w:val="Normal"/>
    <w:qFormat/>
    <w:pPr>
      <w:suppressLineNumbers/>
      <w:spacing w:before="120" w:after="120"/>
    </w:pPr>
    <w:rPr>
      <w:rFonts w:cs="Arial Unicode MS"/>
      <w:i/>
      <w:iCs/>
      <w:sz w:val="24"/>
      <w:szCs w:val="24"/>
    </w:rPr>
  </w:style>
  <w:style w:type="paragraph" w:styleId="Ndice">
    <w:name w:val="Índice"/>
    <w:basedOn w:val="Normal"/>
    <w:qFormat/>
    <w:pPr>
      <w:suppressLineNumbers/>
    </w:pPr>
    <w:rPr>
      <w:rFonts w:cs="Arial Unicode MS"/>
    </w:rPr>
  </w:style>
  <w:style w:type="paragraph" w:styleId="ListParagraph">
    <w:name w:val="List Paragraph"/>
    <w:basedOn w:val="Normal"/>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qFormat/>
    <w:rsid w:val="003a73c1"/>
    <w:pPr/>
    <w:rPr>
      <w:rFonts w:ascii="Tahoma" w:hAnsi="Tahoma"/>
      <w:sz w:val="16"/>
      <w:szCs w:val="16"/>
    </w:rPr>
  </w:style>
  <w:style w:type="paragraph" w:styleId="Nvel2" w:customStyle="1">
    <w:name w:val="Nível 2"/>
    <w:basedOn w:val="Normal"/>
    <w:next w:val="Normal"/>
    <w:qFormat/>
    <w:rsid w:val="004b460a"/>
    <w:pPr>
      <w:spacing w:before="0" w:after="120"/>
      <w:jc w:val="both"/>
    </w:pPr>
    <w:rPr>
      <w:rFonts w:cs="Times New Roman"/>
      <w:b/>
      <w:szCs w:val="20"/>
    </w:rPr>
  </w:style>
  <w:style w:type="paragraph" w:styleId="Quote">
    <w:name w:val="Quote"/>
    <w:basedOn w:val="Normal"/>
    <w:next w:val="Normal"/>
    <w:link w:val="CitaoChar"/>
    <w:qFormat/>
    <w:rsid w:val="00c322f1"/>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ListBullet5">
    <w:name w:val="List Bullet 5"/>
    <w:basedOn w:val="Normal"/>
    <w:qFormat/>
    <w:rsid w:val="001a3a05"/>
    <w:pPr>
      <w:spacing w:before="0" w:after="0"/>
      <w:contextualSpacing/>
    </w:pPr>
    <w:rPr/>
  </w:style>
  <w:style w:type="paragraph" w:styleId="Citao2" w:customStyle="1">
    <w:name w:val="citação 2"/>
    <w:basedOn w:val="Quote"/>
    <w:link w:val="citao2Char"/>
    <w:qFormat/>
    <w:rsid w:val="000a23da"/>
    <w:pPr>
      <w:shd w:fill="FFFFCC" w:val="clear"/>
    </w:pPr>
    <w:rPr>
      <w:szCs w:val="20"/>
    </w:rPr>
  </w:style>
  <w:style w:type="paragraph" w:styleId="GradeColoridanfase11" w:customStyle="1">
    <w:name w:val="Grade Colorida - Ênfase 11"/>
    <w:basedOn w:val="Normal"/>
    <w:next w:val="Normal"/>
    <w:link w:val="GradeColorida-nfase1Char"/>
    <w:uiPriority w:val="29"/>
    <w:qFormat/>
    <w:rsid w:val="00821b3a"/>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s="Times New Roman"/>
      <w:i/>
      <w:iCs/>
      <w:color w:val="000000"/>
      <w:lang w:val="x-none" w:eastAsia="en-US"/>
    </w:rPr>
  </w:style>
  <w:style w:type="paragraph" w:styleId="Cabealho">
    <w:name w:val="Header"/>
    <w:basedOn w:val="Normal"/>
    <w:link w:val="CabealhoChar"/>
    <w:unhideWhenUsed/>
    <w:rsid w:val="00a3644b"/>
    <w:pPr>
      <w:tabs>
        <w:tab w:val="center" w:pos="4252" w:leader="none"/>
        <w:tab w:val="right" w:pos="8504" w:leader="none"/>
      </w:tabs>
    </w:pPr>
    <w:rPr/>
  </w:style>
  <w:style w:type="paragraph" w:styleId="Rodap">
    <w:name w:val="Footer"/>
    <w:basedOn w:val="Normal"/>
    <w:link w:val="RodapChar"/>
    <w:uiPriority w:val="99"/>
    <w:unhideWhenUsed/>
    <w:rsid w:val="00a3644b"/>
    <w:pPr>
      <w:tabs>
        <w:tab w:val="center" w:pos="4252" w:leader="none"/>
        <w:tab w:val="right" w:pos="8504" w:leader="none"/>
      </w:tabs>
    </w:pPr>
    <w:rPr/>
  </w:style>
  <w:style w:type="paragraph" w:styleId="Nivel1" w:customStyle="1">
    <w:name w:val="Nivel1"/>
    <w:basedOn w:val="Ttulo1"/>
    <w:next w:val="Normal"/>
    <w:link w:val="Nivel1Char"/>
    <w:qFormat/>
    <w:rsid w:val="00de7070"/>
    <w:pPr>
      <w:spacing w:lineRule="auto" w:line="276" w:before="480" w:after="120"/>
      <w:jc w:val="both"/>
    </w:pPr>
    <w:rPr>
      <w:rFonts w:ascii="Arial" w:hAnsi="Arial" w:cs="Arial"/>
      <w:b/>
      <w:color w:val="000000"/>
      <w:sz w:val="20"/>
      <w:szCs w:val="20"/>
    </w:rPr>
  </w:style>
  <w:style w:type="paragraph" w:styleId="Annotationtext">
    <w:name w:val="annotation text"/>
    <w:basedOn w:val="Normal"/>
    <w:link w:val="TextodecomentrioChar"/>
    <w:unhideWhenUsed/>
    <w:qFormat/>
    <w:rsid w:val="00453b1d"/>
    <w:pPr/>
    <w:rPr>
      <w:sz w:val="24"/>
    </w:rPr>
  </w:style>
  <w:style w:type="paragraph" w:styleId="Annotationsubject">
    <w:name w:val="annotation subject"/>
    <w:basedOn w:val="Annotationtext"/>
    <w:link w:val="AssuntodocomentrioChar"/>
    <w:semiHidden/>
    <w:unhideWhenUsed/>
    <w:qFormat/>
    <w:rsid w:val="005e4cdc"/>
    <w:pPr/>
    <w:rPr>
      <w:b/>
      <w:bCs/>
      <w:sz w:val="20"/>
      <w:szCs w:val="20"/>
    </w:rPr>
  </w:style>
  <w:style w:type="paragraph" w:styleId="Nivel01" w:customStyle="1">
    <w:name w:val="Nivel 01"/>
    <w:basedOn w:val="Ttulo1"/>
    <w:next w:val="Normal"/>
    <w:link w:val="Nivel01Char"/>
    <w:qFormat/>
    <w:rsid w:val="00563cba"/>
    <w:pPr>
      <w:tabs>
        <w:tab w:val="left" w:pos="567" w:leader="none"/>
      </w:tabs>
      <w:jc w:val="both"/>
    </w:pPr>
    <w:rPr>
      <w:rFonts w:ascii="Ecofont_Spranq_eco_Sans" w:hAnsi="Ecofont_Spranq_eco_Sans" w:cs="Times New Roman"/>
      <w:b/>
      <w:bCs/>
      <w:color w:val="000000"/>
      <w:sz w:val="20"/>
      <w:szCs w:val="20"/>
    </w:rPr>
  </w:style>
  <w:style w:type="paragraph" w:styleId="Nivel011" w:customStyle="1">
    <w:name w:val="Nivel_01"/>
    <w:basedOn w:val="Ttulo1"/>
    <w:link w:val="Nivel01Char0"/>
    <w:qFormat/>
    <w:rsid w:val="00ea46e8"/>
    <w:pPr>
      <w:tabs>
        <w:tab w:val="left" w:pos="567" w:leader="none"/>
      </w:tabs>
      <w:jc w:val="both"/>
    </w:pPr>
    <w:rPr>
      <w:rFonts w:ascii="Ecofont_Spranq_eco_Sans" w:hAnsi="Ecofont_Spranq_eco_Sans" w:cs="Times New Roman"/>
      <w:b/>
      <w:bCs/>
      <w:color w:val="00000A"/>
      <w:sz w:val="20"/>
      <w:szCs w:val="20"/>
    </w:rPr>
  </w:style>
  <w:style w:type="paragraph" w:styleId="SombreamentoMdio1nfase31" w:customStyle="1">
    <w:name w:val="Sombreamento Médio 1 - Ênfase 31"/>
    <w:basedOn w:val="Normal"/>
    <w:next w:val="Normal"/>
    <w:qFormat/>
    <w:rsid w:val="00323a8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ascii="Ecofont_Spranq_eco_Sans" w:hAnsi="Ecofont_Spranq_eco_Sans" w:eastAsia="Calibri"/>
      <w:i/>
      <w:iCs/>
      <w:color w:val="000000"/>
      <w:lang w:eastAsia="zh-CN"/>
    </w:rPr>
  </w:style>
  <w:style w:type="paragraph" w:styleId="PargrafodaLista1" w:customStyle="1">
    <w:name w:val="Parágrafo da Lista1"/>
    <w:basedOn w:val="Normal"/>
    <w:qFormat/>
    <w:rsid w:val="00834300"/>
    <w:pPr>
      <w:ind w:left="720" w:hanging="0"/>
    </w:pPr>
    <w:rPr>
      <w:rFonts w:ascii="Ecofont_Spranq_eco_Sans" w:hAnsi="Ecofont_Spranq_eco_Sans" w:cs="Ecofont_Spranq_eco_Sans"/>
      <w:sz w:val="24"/>
    </w:rPr>
  </w:style>
  <w:style w:type="paragraph" w:styleId="Nivel2" w:customStyle="1">
    <w:name w:val="Nivel 2"/>
    <w:link w:val="Nivel2Char"/>
    <w:qFormat/>
    <w:rsid w:val="00210b85"/>
    <w:pPr>
      <w:widowControl/>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qFormat/>
    <w:rsid w:val="00210b85"/>
    <w:pPr>
      <w:tabs>
        <w:tab w:val="left" w:pos="360" w:leader="none"/>
      </w:tabs>
      <w:ind w:left="644" w:hanging="432"/>
    </w:pPr>
    <w:rPr>
      <w:rFonts w:cs="Arial"/>
      <w:b/>
    </w:rPr>
  </w:style>
  <w:style w:type="paragraph" w:styleId="Nivel3" w:customStyle="1">
    <w:name w:val="Nivel 3"/>
    <w:basedOn w:val="Nivel2"/>
    <w:qFormat/>
    <w:rsid w:val="00210b85"/>
    <w:pPr>
      <w:tabs>
        <w:tab w:val="left" w:pos="360" w:leader="none"/>
      </w:tabs>
      <w:ind w:left="1922" w:hanging="0"/>
    </w:pPr>
    <w:rPr>
      <w:rFonts w:cs="Arial"/>
      <w:color w:val="000000"/>
    </w:rPr>
  </w:style>
  <w:style w:type="paragraph" w:styleId="Nivel4" w:customStyle="1">
    <w:name w:val="Nivel 4"/>
    <w:basedOn w:val="Nivel3"/>
    <w:qFormat/>
    <w:rsid w:val="00210b85"/>
    <w:pPr>
      <w:tabs>
        <w:tab w:val="left" w:pos="360" w:leader="none"/>
      </w:tabs>
      <w:ind w:left="2491" w:hanging="0"/>
    </w:pPr>
    <w:rPr>
      <w:color w:val="00000A"/>
    </w:rPr>
  </w:style>
  <w:style w:type="paragraph" w:styleId="Nivel5" w:customStyle="1">
    <w:name w:val="Nivel 5"/>
    <w:basedOn w:val="Nivel4"/>
    <w:qFormat/>
    <w:rsid w:val="00210b85"/>
    <w:pPr>
      <w:tabs>
        <w:tab w:val="left" w:pos="360" w:leader="none"/>
      </w:tabs>
      <w:ind w:left="3485" w:hanging="0"/>
    </w:pPr>
    <w:rPr/>
  </w:style>
  <w:style w:type="paragraph" w:styleId="Citao1" w:customStyle="1">
    <w:name w:val="Citação1"/>
    <w:basedOn w:val="Normal"/>
    <w:next w:val="Normal"/>
    <w:link w:val="QuoteChar"/>
    <w:qFormat/>
    <w:rsid w:val="0039126b"/>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cs="Ecofont_Spranq_eco_Sans"/>
      <w:i/>
      <w:iCs/>
      <w:color w:val="000000"/>
      <w:sz w:val="24"/>
      <w:shd w:fill="FFFFCC" w:val="clear"/>
      <w:lang w:eastAsia="en-US"/>
    </w:rPr>
  </w:style>
  <w:style w:type="paragraph" w:styleId="GradeColoridanfase110" w:customStyle="1">
    <w:name w:val="Grade Colorida - Ênfase 110"/>
    <w:basedOn w:val="Normal"/>
    <w:next w:val="Normal"/>
    <w:qFormat/>
    <w:rsid w:val="00c63cfe"/>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i/>
      <w:color w:val="000000"/>
      <w:sz w:val="24"/>
      <w:lang w:eastAsia="en-US"/>
    </w:rPr>
  </w:style>
  <w:style w:type="paragraph" w:styleId="Standard" w:customStyle="1">
    <w:name w:val="Standard"/>
    <w:qFormat/>
    <w:rsid w:val="005e64d1"/>
    <w:pPr>
      <w:widowControl/>
      <w:suppressAutoHyphens w:val="true"/>
      <w:bidi w:val="0"/>
      <w:jc w:val="left"/>
    </w:pPr>
    <w:rPr>
      <w:rFonts w:ascii="Ecofont_Spranq_eco_Sans" w:hAnsi="Ecofont_Spranq_eco_Sans" w:eastAsia="Ecofont_Spranq_eco_Sans" w:cs="Tahoma"/>
      <w:color w:val="auto"/>
      <w:kern w:val="0"/>
      <w:sz w:val="24"/>
      <w:szCs w:val="24"/>
      <w:lang w:val="pt-BR" w:eastAsia="pt-BR" w:bidi="ar-SA"/>
    </w:rPr>
  </w:style>
  <w:style w:type="paragraph" w:styleId="Default" w:customStyle="1">
    <w:name w:val="Default"/>
    <w:qFormat/>
    <w:rsid w:val="00661263"/>
    <w:pPr>
      <w:widowControl/>
      <w:bidi w:val="0"/>
      <w:jc w:val="left"/>
    </w:pPr>
    <w:rPr>
      <w:rFonts w:ascii="Arial" w:hAnsi="Arial" w:cs="Arial" w:eastAsia="Times New Roman"/>
      <w:color w:val="000000"/>
      <w:kern w:val="0"/>
      <w:sz w:val="24"/>
      <w:szCs w:val="24"/>
      <w:lang w:val="pt-BR" w:eastAsia="pt-BR" w:bidi="ar-SA"/>
    </w:rPr>
  </w:style>
  <w:style w:type="paragraph" w:styleId="Ttulo11" w:customStyle="1">
    <w:name w:val="Título 11"/>
    <w:basedOn w:val="Normal"/>
    <w:uiPriority w:val="1"/>
    <w:qFormat/>
    <w:rsid w:val="00183a27"/>
    <w:pPr>
      <w:widowControl w:val="false"/>
      <w:ind w:left="983" w:hanging="711"/>
      <w:outlineLvl w:val="1"/>
    </w:pPr>
    <w:rPr>
      <w:rFonts w:ascii="Times New Roman" w:hAnsi="Times New Roman" w:cs="Times New Roman"/>
      <w:b/>
      <w:bCs/>
      <w:sz w:val="24"/>
      <w:lang w:val="pt-PT" w:eastAsia="en-US"/>
    </w:rPr>
  </w:style>
  <w:style w:type="paragraph" w:styleId="TableParagraph" w:customStyle="1">
    <w:name w:val="Table Paragraph"/>
    <w:basedOn w:val="Normal"/>
    <w:qFormat/>
    <w:rsid w:val="00183a27"/>
    <w:pPr>
      <w:widowControl w:val="false"/>
    </w:pPr>
    <w:rPr>
      <w:rFonts w:ascii="Times New Roman" w:hAnsi="Times New Roman" w:cs="Times New Roman"/>
      <w:sz w:val="22"/>
      <w:szCs w:val="22"/>
      <w:lang w:val="pt-PT" w:eastAsia="en-US"/>
    </w:rPr>
  </w:style>
  <w:style w:type="paragraph" w:styleId="Textbody" w:customStyle="1">
    <w:name w:val="Text body"/>
    <w:basedOn w:val="Standard"/>
    <w:qFormat/>
    <w:rsid w:val="00a20ea4"/>
    <w:pPr>
      <w:spacing w:lineRule="auto" w:line="276" w:before="0" w:after="140"/>
      <w:textAlignment w:val="baseline"/>
    </w:pPr>
    <w:rPr>
      <w:rFonts w:ascii="Liberation Serif" w:hAnsi="Liberation Serif" w:eastAsia="Noto Sans CJK SC" w:cs="Lohit Devanagari"/>
      <w:kern w:val="2"/>
      <w:lang w:eastAsia="zh-CN" w:bidi="hi-IN"/>
    </w:rPr>
  </w:style>
  <w:style w:type="paragraph" w:styleId="LONormal" w:customStyle="1">
    <w:name w:val="LO-Normal"/>
    <w:qFormat/>
    <w:rsid w:val="00215ef8"/>
    <w:pPr>
      <w:widowControl w:val="false"/>
      <w:suppressAutoHyphens w:val="true"/>
      <w:overflowPunct w:val="true"/>
      <w:bidi w:val="0"/>
      <w:jc w:val="left"/>
      <w:textAlignment w:val="baseline"/>
    </w:pPr>
    <w:rPr>
      <w:rFonts w:ascii="Times New Roman" w:hAnsi="Times New Roman" w:eastAsia="Times New Roman" w:cs="Times New Roman"/>
      <w:color w:val="auto"/>
      <w:kern w:val="0"/>
      <w:sz w:val="20"/>
      <w:szCs w:val="20"/>
      <w:lang w:val="pt-BR" w:eastAsia="pt-BR" w:bidi="ar-SA"/>
    </w:rPr>
  </w:style>
  <w:style w:type="numbering" w:styleId="NoList" w:default="1">
    <w:name w:val="No List"/>
    <w:uiPriority w:val="99"/>
    <w:semiHidden/>
    <w:unhideWhenUsed/>
    <w:qFormat/>
  </w:style>
  <w:style w:type="numbering" w:styleId="WW8Num2" w:customStyle="1">
    <w:name w:val="WW8Num2"/>
    <w:qFormat/>
    <w:rsid w:val="006a551e"/>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table" w:styleId="Tabelacomgrade">
    <w:name w:val="Table Grid"/>
    <w:basedOn w:val="Tabelanormal"/>
    <w:rsid w:val="00a2471d"/>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Relationship Id="rId9" Type="http://schemas.openxmlformats.org/officeDocument/2006/relationships/customXml" Target="../customXml/item2.xml"/><Relationship Id="rId10" Type="http://schemas.openxmlformats.org/officeDocument/2006/relationships/customXml" Target="../customXml/item3.xml"/><Relationship Id="rId11" Type="http://schemas.openxmlformats.org/officeDocument/2006/relationships/customXml" Target="../customXml/item4.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8" ma:contentTypeDescription="Crie um novo documento." ma:contentTypeScope="" ma:versionID="c6adb248b52d453afec582584ced347e">
  <xsd:schema xmlns:xsd="http://www.w3.org/2001/XMLSchema" xmlns:xs="http://www.w3.org/2001/XMLSchema" xmlns:p="http://schemas.microsoft.com/office/2006/metadata/properties" xmlns:ns2="52c93ea8-e2de-466c-b401-d7fabeb9490e" targetNamespace="http://schemas.microsoft.com/office/2006/metadata/properties" ma:root="true" ma:fieldsID="ab6753da97a2bc317a9adb518871c3d7"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80718D-6FE4-400B-A348-4E4AD904146E}">
  <ds:schemaRefs>
    <ds:schemaRef ds:uri="http://schemas.microsoft.com/sharepoint/v3/contenttype/forms"/>
  </ds:schemaRefs>
</ds:datastoreItem>
</file>

<file path=customXml/itemProps2.xml><?xml version="1.0" encoding="utf-8"?>
<ds:datastoreItem xmlns:ds="http://schemas.openxmlformats.org/officeDocument/2006/customXml" ds:itemID="{B6F4DC28-420F-4EC0-B634-F632762EE51C}">
  <ds:schemaRefs>
    <ds:schemaRef ds:uri="http://purl.org/dc/terms/"/>
    <ds:schemaRef ds:uri="http://purl.org/dc/dcmitype/"/>
    <ds:schemaRef ds:uri="http://www.w3.org/XML/1998/namespace"/>
    <ds:schemaRef ds:uri="http://purl.org/dc/elements/1.1/"/>
    <ds:schemaRef ds:uri="http://schemas.microsoft.com/office/2006/documentManagement/types"/>
    <ds:schemaRef ds:uri="http://schemas.openxmlformats.org/package/2006/metadata/core-properties"/>
    <ds:schemaRef ds:uri="http://schemas.microsoft.com/office/infopath/2007/PartnerControls"/>
    <ds:schemaRef ds:uri="52c93ea8-e2de-466c-b401-d7fabeb9490e"/>
    <ds:schemaRef ds:uri="http://schemas.microsoft.com/office/2006/metadata/properties"/>
  </ds:schemaRefs>
</ds:datastoreItem>
</file>

<file path=customXml/itemProps3.xml><?xml version="1.0" encoding="utf-8"?>
<ds:datastoreItem xmlns:ds="http://schemas.openxmlformats.org/officeDocument/2006/customXml" ds:itemID="{639B84CC-2264-4253-A596-5C5B8CD98E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11EFA6-2507-4CAD-924C-B206C7E41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 compras</Template>
  <TotalTime>419</TotalTime>
  <Application>LibreOffice/6.0.1.1$Windows_X86_64 LibreOffice_project/60bfb1526849283ce2491346ed2aa51c465abfe6</Application>
  <Pages>9</Pages>
  <Words>3835</Words>
  <Characters>21448</Characters>
  <CharactersWithSpaces>25210</CharactersWithSpaces>
  <Paragraphs>183</Paragraphs>
  <Company>EDUARDO DOTTI</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2022-11-03T14:32:00Z</dcterms:created>
  <dc:creator>Adriano</dc:creator>
  <dc:description/>
  <dc:language>pt-BR</dc:language>
  <cp:lastModifiedBy/>
  <cp:lastPrinted>2022-12-07T20:28:00Z</cp:lastPrinted>
  <dcterms:modified xsi:type="dcterms:W3CDTF">2023-05-15T15:35:01Z</dcterms:modified>
  <cp:revision>8</cp:revision>
  <dc:subject/>
  <dc:title>NOTAS EXPLICATIVAS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EDUARDO DOTTI</vt:lpwstr>
  </property>
  <property fmtid="{D5CDD505-2E9C-101B-9397-08002B2CF9AE}" pid="4" name="ContentTypeId">
    <vt:lpwstr>0x01010012A2765E7DFD38469B2E626874CD0041</vt:lpwstr>
  </property>
  <property fmtid="{D5CDD505-2E9C-101B-9397-08002B2CF9AE}" pid="5" name="DocSecurity">
    <vt:i4>0</vt:i4>
  </property>
  <property fmtid="{D5CDD505-2E9C-101B-9397-08002B2CF9AE}" pid="6" name="HyperlinksChanged">
    <vt:bool>0</vt:bool>
  </property>
  <property fmtid="{D5CDD505-2E9C-101B-9397-08002B2CF9AE}" pid="7" name="LinksUpToDate">
    <vt:bool>0</vt:bool>
  </property>
  <property fmtid="{D5CDD505-2E9C-101B-9397-08002B2CF9AE}" pid="8" name="ScaleCrop">
    <vt:bool>0</vt:bool>
  </property>
  <property fmtid="{D5CDD505-2E9C-101B-9397-08002B2CF9AE}" pid="9" name="ShareDoc">
    <vt:bool>0</vt:bool>
  </property>
</Properties>
</file>